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987D29" w14:textId="1B15659F" w:rsidR="00E221A3" w:rsidRPr="00C544AF" w:rsidRDefault="00E221A3" w:rsidP="00F6094A">
      <w:pPr>
        <w:tabs>
          <w:tab w:val="center" w:pos="4680"/>
        </w:tabs>
        <w:snapToGrid w:val="0"/>
        <w:spacing w:after="240"/>
        <w:jc w:val="both"/>
        <w:rPr>
          <w:rFonts w:ascii="Times New Roman" w:hAnsi="Times New Roman"/>
          <w:b/>
          <w:bCs/>
          <w:szCs w:val="24"/>
        </w:rPr>
      </w:pPr>
      <w:r w:rsidRPr="00C544AF">
        <w:rPr>
          <w:rFonts w:ascii="Times New Roman" w:hAnsi="Times New Roman"/>
          <w:b/>
          <w:bCs/>
          <w:szCs w:val="24"/>
        </w:rPr>
        <w:t>WHEREAS</w:t>
      </w:r>
      <w:r w:rsidRPr="00C544AF">
        <w:rPr>
          <w:rFonts w:ascii="Times New Roman" w:hAnsi="Times New Roman"/>
          <w:bCs/>
          <w:szCs w:val="24"/>
        </w:rPr>
        <w:t xml:space="preserve">, Section 315.120 of the Twin Oaks Municipal Code gives the Board of Aldermen authority to declare any street or part thereof a </w:t>
      </w:r>
      <w:r w:rsidR="006457E5">
        <w:rPr>
          <w:rFonts w:ascii="Times New Roman" w:hAnsi="Times New Roman"/>
          <w:bCs/>
          <w:szCs w:val="24"/>
        </w:rPr>
        <w:t>“</w:t>
      </w:r>
      <w:r w:rsidRPr="00C544AF">
        <w:rPr>
          <w:rFonts w:ascii="Times New Roman" w:hAnsi="Times New Roman"/>
          <w:bCs/>
          <w:szCs w:val="24"/>
        </w:rPr>
        <w:t>special enforcement area</w:t>
      </w:r>
      <w:r w:rsidR="006457E5">
        <w:rPr>
          <w:rFonts w:ascii="Times New Roman" w:hAnsi="Times New Roman"/>
          <w:bCs/>
          <w:szCs w:val="24"/>
        </w:rPr>
        <w:t>”</w:t>
      </w:r>
      <w:r w:rsidRPr="00C544AF">
        <w:rPr>
          <w:rFonts w:ascii="Times New Roman" w:hAnsi="Times New Roman"/>
          <w:bCs/>
          <w:szCs w:val="24"/>
        </w:rPr>
        <w:t xml:space="preserve"> and to place signs or devices in the roadway indicating and helping to protect; and</w:t>
      </w:r>
    </w:p>
    <w:p w14:paraId="34CCD1A6" w14:textId="2A574255" w:rsidR="003C4088" w:rsidRPr="00C544AF" w:rsidRDefault="00C212D8" w:rsidP="00F6094A">
      <w:pPr>
        <w:tabs>
          <w:tab w:val="center" w:pos="4680"/>
        </w:tabs>
        <w:snapToGrid w:val="0"/>
        <w:spacing w:after="240"/>
        <w:jc w:val="both"/>
        <w:rPr>
          <w:rFonts w:ascii="Times New Roman" w:hAnsi="Times New Roman"/>
          <w:bCs/>
          <w:szCs w:val="24"/>
        </w:rPr>
      </w:pPr>
      <w:r w:rsidRPr="00C544AF">
        <w:rPr>
          <w:rFonts w:ascii="Times New Roman" w:hAnsi="Times New Roman"/>
          <w:b/>
          <w:bCs/>
          <w:szCs w:val="24"/>
        </w:rPr>
        <w:t>WHEREAS</w:t>
      </w:r>
      <w:r w:rsidRPr="00C544AF">
        <w:rPr>
          <w:rFonts w:ascii="Times New Roman" w:hAnsi="Times New Roman"/>
          <w:bCs/>
          <w:szCs w:val="24"/>
        </w:rPr>
        <w:t>,</w:t>
      </w:r>
      <w:r w:rsidR="007207D3" w:rsidRPr="00C544AF">
        <w:rPr>
          <w:rFonts w:ascii="Times New Roman" w:hAnsi="Times New Roman"/>
          <w:bCs/>
          <w:szCs w:val="24"/>
        </w:rPr>
        <w:t xml:space="preserve"> </w:t>
      </w:r>
      <w:r w:rsidR="003C4088" w:rsidRPr="00C544AF">
        <w:rPr>
          <w:rFonts w:ascii="Times New Roman" w:hAnsi="Times New Roman"/>
          <w:bCs/>
          <w:szCs w:val="24"/>
        </w:rPr>
        <w:t xml:space="preserve">motor vehicle crashes are one of the leading causes of death in the United States, according to the Centers for Disease Control and Prevention; and </w:t>
      </w:r>
    </w:p>
    <w:p w14:paraId="502C0B19" w14:textId="35C20EF7" w:rsidR="007207D3" w:rsidRPr="00C544AF" w:rsidRDefault="00C212D8" w:rsidP="00F6094A">
      <w:pPr>
        <w:tabs>
          <w:tab w:val="center" w:pos="4680"/>
        </w:tabs>
        <w:snapToGrid w:val="0"/>
        <w:spacing w:after="240"/>
        <w:jc w:val="both"/>
        <w:rPr>
          <w:rFonts w:ascii="Times New Roman" w:hAnsi="Times New Roman"/>
          <w:bCs/>
          <w:szCs w:val="24"/>
        </w:rPr>
      </w:pPr>
      <w:r w:rsidRPr="00C544AF">
        <w:rPr>
          <w:rFonts w:ascii="Times New Roman" w:hAnsi="Times New Roman"/>
          <w:b/>
          <w:bCs/>
          <w:szCs w:val="24"/>
        </w:rPr>
        <w:t>WHEREAS</w:t>
      </w:r>
      <w:r w:rsidR="00A66748" w:rsidRPr="00C544AF">
        <w:rPr>
          <w:rFonts w:ascii="Times New Roman" w:hAnsi="Times New Roman"/>
          <w:bCs/>
          <w:szCs w:val="24"/>
        </w:rPr>
        <w:t>,</w:t>
      </w:r>
      <w:r w:rsidR="007207D3" w:rsidRPr="00C544AF">
        <w:rPr>
          <w:rFonts w:ascii="Times New Roman" w:hAnsi="Times New Roman"/>
          <w:bCs/>
          <w:szCs w:val="24"/>
        </w:rPr>
        <w:t xml:space="preserve"> the Board of Aldermen is greatly concerned for the safety of the City’s </w:t>
      </w:r>
      <w:r w:rsidR="00E44C29" w:rsidRPr="00C544AF">
        <w:rPr>
          <w:rFonts w:ascii="Times New Roman" w:hAnsi="Times New Roman"/>
          <w:bCs/>
          <w:szCs w:val="24"/>
        </w:rPr>
        <w:t xml:space="preserve">residents, </w:t>
      </w:r>
      <w:r w:rsidR="005C4E21" w:rsidRPr="00C544AF">
        <w:rPr>
          <w:rFonts w:ascii="Times New Roman" w:hAnsi="Times New Roman"/>
          <w:bCs/>
          <w:szCs w:val="24"/>
        </w:rPr>
        <w:t>pedestrians,</w:t>
      </w:r>
      <w:r w:rsidR="007207D3" w:rsidRPr="00C544AF">
        <w:rPr>
          <w:rFonts w:ascii="Times New Roman" w:hAnsi="Times New Roman"/>
          <w:bCs/>
          <w:szCs w:val="24"/>
        </w:rPr>
        <w:t xml:space="preserve"> </w:t>
      </w:r>
      <w:r w:rsidR="00F6094A" w:rsidRPr="00C544AF">
        <w:rPr>
          <w:rFonts w:ascii="Times New Roman" w:hAnsi="Times New Roman"/>
          <w:bCs/>
          <w:szCs w:val="24"/>
        </w:rPr>
        <w:t xml:space="preserve">and motorists, </w:t>
      </w:r>
      <w:r w:rsidR="007207D3" w:rsidRPr="00C544AF">
        <w:rPr>
          <w:rFonts w:ascii="Times New Roman" w:hAnsi="Times New Roman"/>
          <w:bCs/>
          <w:szCs w:val="24"/>
        </w:rPr>
        <w:t xml:space="preserve">and believes that </w:t>
      </w:r>
      <w:r w:rsidR="00E44C29" w:rsidRPr="00C544AF">
        <w:rPr>
          <w:rFonts w:ascii="Times New Roman" w:hAnsi="Times New Roman"/>
          <w:bCs/>
          <w:szCs w:val="24"/>
        </w:rPr>
        <w:t xml:space="preserve">controlling </w:t>
      </w:r>
      <w:r w:rsidR="007207D3" w:rsidRPr="00C544AF">
        <w:rPr>
          <w:rFonts w:ascii="Times New Roman" w:hAnsi="Times New Roman"/>
          <w:bCs/>
          <w:szCs w:val="24"/>
        </w:rPr>
        <w:t xml:space="preserve">traffic </w:t>
      </w:r>
      <w:r w:rsidR="00E221A3" w:rsidRPr="00C544AF">
        <w:rPr>
          <w:rFonts w:ascii="Times New Roman" w:hAnsi="Times New Roman"/>
          <w:bCs/>
          <w:szCs w:val="24"/>
        </w:rPr>
        <w:t>maneuvers</w:t>
      </w:r>
      <w:r w:rsidR="00E44C29" w:rsidRPr="00C544AF">
        <w:rPr>
          <w:rFonts w:ascii="Times New Roman" w:hAnsi="Times New Roman"/>
          <w:bCs/>
          <w:szCs w:val="24"/>
        </w:rPr>
        <w:t xml:space="preserve"> </w:t>
      </w:r>
      <w:r w:rsidR="007207D3" w:rsidRPr="00C544AF">
        <w:rPr>
          <w:rFonts w:ascii="Times New Roman" w:hAnsi="Times New Roman"/>
          <w:bCs/>
          <w:szCs w:val="24"/>
        </w:rPr>
        <w:t>will decrease the likelihood of a fatal or disabling injury</w:t>
      </w:r>
      <w:r w:rsidRPr="00C544AF">
        <w:rPr>
          <w:rFonts w:ascii="Times New Roman" w:hAnsi="Times New Roman"/>
          <w:bCs/>
          <w:szCs w:val="24"/>
        </w:rPr>
        <w:t>;</w:t>
      </w:r>
      <w:r w:rsidR="007207D3" w:rsidRPr="00C544AF">
        <w:rPr>
          <w:rFonts w:ascii="Times New Roman" w:hAnsi="Times New Roman"/>
          <w:bCs/>
          <w:szCs w:val="24"/>
        </w:rPr>
        <w:t xml:space="preserve"> and</w:t>
      </w:r>
      <w:r w:rsidR="00DE2E80" w:rsidRPr="00C544AF">
        <w:rPr>
          <w:rFonts w:ascii="Times New Roman" w:hAnsi="Times New Roman"/>
          <w:bCs/>
          <w:szCs w:val="24"/>
        </w:rPr>
        <w:t xml:space="preserve"> </w:t>
      </w:r>
    </w:p>
    <w:p w14:paraId="442F789D" w14:textId="7E3DBA8B" w:rsidR="00C212D8" w:rsidRPr="00C544AF" w:rsidRDefault="00CF56E9" w:rsidP="00F6094A">
      <w:pPr>
        <w:tabs>
          <w:tab w:val="center" w:pos="4680"/>
        </w:tabs>
        <w:snapToGrid w:val="0"/>
        <w:spacing w:after="240"/>
        <w:jc w:val="both"/>
        <w:rPr>
          <w:rFonts w:ascii="Times New Roman" w:hAnsi="Times New Roman"/>
          <w:bCs/>
          <w:szCs w:val="24"/>
        </w:rPr>
      </w:pPr>
      <w:r w:rsidRPr="00C544AF">
        <w:rPr>
          <w:rFonts w:ascii="Times New Roman" w:hAnsi="Times New Roman"/>
          <w:b/>
          <w:bCs/>
          <w:szCs w:val="24"/>
        </w:rPr>
        <w:t>WHEREAS</w:t>
      </w:r>
      <w:r w:rsidRPr="00C544AF">
        <w:rPr>
          <w:rFonts w:ascii="Times New Roman" w:hAnsi="Times New Roman"/>
          <w:bCs/>
          <w:szCs w:val="24"/>
        </w:rPr>
        <w:t xml:space="preserve">, the Board of Aldermen has determined that </w:t>
      </w:r>
      <w:r w:rsidR="00E221A3" w:rsidRPr="00C544AF">
        <w:rPr>
          <w:rFonts w:ascii="Times New Roman" w:hAnsi="Times New Roman"/>
          <w:bCs/>
          <w:szCs w:val="24"/>
        </w:rPr>
        <w:t xml:space="preserve">a portion of </w:t>
      </w:r>
      <w:r w:rsidR="00E44C29" w:rsidRPr="00C544AF">
        <w:rPr>
          <w:rFonts w:ascii="Times New Roman" w:hAnsi="Times New Roman"/>
          <w:bCs/>
          <w:szCs w:val="24"/>
        </w:rPr>
        <w:t>Crescent Road</w:t>
      </w:r>
      <w:r w:rsidRPr="00C544AF">
        <w:rPr>
          <w:rFonts w:ascii="Times New Roman" w:hAnsi="Times New Roman"/>
          <w:bCs/>
          <w:szCs w:val="24"/>
        </w:rPr>
        <w:t xml:space="preserve"> should be designated as </w:t>
      </w:r>
      <w:r w:rsidR="00E221A3" w:rsidRPr="00C544AF">
        <w:rPr>
          <w:rFonts w:ascii="Times New Roman" w:hAnsi="Times New Roman"/>
          <w:bCs/>
          <w:szCs w:val="24"/>
        </w:rPr>
        <w:t xml:space="preserve">a special enforcement area </w:t>
      </w:r>
      <w:r w:rsidRPr="00C544AF">
        <w:rPr>
          <w:rFonts w:ascii="Times New Roman" w:hAnsi="Times New Roman"/>
          <w:bCs/>
          <w:szCs w:val="24"/>
        </w:rPr>
        <w:t>for the purposes of public safety.</w:t>
      </w:r>
    </w:p>
    <w:p w14:paraId="7A34DE89" w14:textId="7C770347" w:rsidR="00723787" w:rsidRPr="00C544AF" w:rsidRDefault="00B27EA2" w:rsidP="00F6094A">
      <w:pPr>
        <w:snapToGrid w:val="0"/>
        <w:spacing w:after="240"/>
        <w:jc w:val="both"/>
        <w:rPr>
          <w:rFonts w:ascii="Times New Roman" w:hAnsi="Times New Roman"/>
          <w:b/>
          <w:bCs/>
          <w:szCs w:val="24"/>
        </w:rPr>
      </w:pPr>
      <w:bookmarkStart w:id="0" w:name="OLE_LINK1"/>
      <w:r w:rsidRPr="00C544AF">
        <w:rPr>
          <w:rFonts w:ascii="Times New Roman" w:hAnsi="Times New Roman"/>
          <w:b/>
          <w:bCs/>
          <w:szCs w:val="24"/>
        </w:rPr>
        <w:t xml:space="preserve">NOW, THEREFORE, </w:t>
      </w:r>
      <w:r w:rsidR="006457E5" w:rsidRPr="008515EE">
        <w:rPr>
          <w:rFonts w:ascii="Times New Roman" w:hAnsi="Times New Roman"/>
          <w:b/>
          <w:szCs w:val="24"/>
        </w:rPr>
        <w:t xml:space="preserve">BE IT ORDAINED BY THE </w:t>
      </w:r>
      <w:r w:rsidR="006457E5" w:rsidRPr="008515EE">
        <w:rPr>
          <w:rFonts w:ascii="Times New Roman" w:hAnsi="Times New Roman"/>
          <w:b/>
          <w:szCs w:val="24"/>
        </w:rPr>
        <w:softHyphen/>
      </w:r>
      <w:r w:rsidR="006457E5" w:rsidRPr="008515EE">
        <w:rPr>
          <w:rFonts w:ascii="Times New Roman" w:hAnsi="Times New Roman"/>
          <w:b/>
          <w:szCs w:val="24"/>
        </w:rPr>
        <w:softHyphen/>
      </w:r>
      <w:r w:rsidR="006457E5" w:rsidRPr="008515EE">
        <w:rPr>
          <w:rFonts w:ascii="Times New Roman" w:hAnsi="Times New Roman"/>
          <w:b/>
          <w:szCs w:val="24"/>
        </w:rPr>
        <w:softHyphen/>
        <w:t xml:space="preserve"> BOARD OF ALDERMEN OF THE CITY OF TWIN OAKS AS FOLLOWS</w:t>
      </w:r>
      <w:r w:rsidR="00723787" w:rsidRPr="00C544AF">
        <w:rPr>
          <w:rFonts w:ascii="Times New Roman" w:hAnsi="Times New Roman"/>
          <w:b/>
          <w:bCs/>
          <w:szCs w:val="24"/>
        </w:rPr>
        <w:t>:</w:t>
      </w:r>
    </w:p>
    <w:p w14:paraId="0D318273" w14:textId="47781D08" w:rsidR="00AF00BC" w:rsidRPr="00C544AF" w:rsidRDefault="003C4088" w:rsidP="003C4088">
      <w:pPr>
        <w:widowControl w:val="0"/>
        <w:tabs>
          <w:tab w:val="left" w:pos="720"/>
          <w:tab w:val="left" w:pos="1440"/>
          <w:tab w:val="center" w:pos="4680"/>
        </w:tabs>
        <w:autoSpaceDE w:val="0"/>
        <w:autoSpaceDN w:val="0"/>
        <w:adjustRightInd w:val="0"/>
        <w:snapToGrid w:val="0"/>
        <w:spacing w:after="240"/>
        <w:jc w:val="both"/>
        <w:rPr>
          <w:rFonts w:ascii="Times New Roman" w:hAnsi="Times New Roman"/>
          <w:szCs w:val="24"/>
        </w:rPr>
      </w:pPr>
      <w:r w:rsidRPr="00C544AF">
        <w:rPr>
          <w:rFonts w:ascii="Times New Roman" w:hAnsi="Times New Roman"/>
          <w:b/>
          <w:szCs w:val="24"/>
        </w:rPr>
        <w:tab/>
      </w:r>
      <w:r w:rsidR="00F7768C" w:rsidRPr="00C544AF">
        <w:rPr>
          <w:rFonts w:ascii="Times New Roman" w:hAnsi="Times New Roman"/>
          <w:b/>
          <w:szCs w:val="24"/>
        </w:rPr>
        <w:t xml:space="preserve">Section </w:t>
      </w:r>
      <w:r w:rsidRPr="00C544AF">
        <w:rPr>
          <w:rFonts w:ascii="Times New Roman" w:hAnsi="Times New Roman"/>
          <w:b/>
          <w:szCs w:val="24"/>
        </w:rPr>
        <w:t>1</w:t>
      </w:r>
      <w:r w:rsidR="00F7768C" w:rsidRPr="00C544AF">
        <w:rPr>
          <w:rFonts w:ascii="Times New Roman" w:hAnsi="Times New Roman"/>
          <w:b/>
          <w:szCs w:val="24"/>
        </w:rPr>
        <w:t>:</w:t>
      </w:r>
      <w:r w:rsidR="00340A78" w:rsidRPr="00C544AF">
        <w:rPr>
          <w:rFonts w:ascii="Times New Roman" w:hAnsi="Times New Roman"/>
          <w:szCs w:val="24"/>
        </w:rPr>
        <w:tab/>
      </w:r>
      <w:r w:rsidRPr="00C544AF">
        <w:rPr>
          <w:rFonts w:ascii="Times New Roman" w:hAnsi="Times New Roman"/>
          <w:szCs w:val="24"/>
        </w:rPr>
        <w:t xml:space="preserve"> </w:t>
      </w:r>
      <w:r w:rsidR="00440502" w:rsidRPr="00C544AF">
        <w:rPr>
          <w:rFonts w:ascii="Times New Roman" w:hAnsi="Times New Roman"/>
          <w:szCs w:val="24"/>
        </w:rPr>
        <w:t xml:space="preserve">Municipal Code </w:t>
      </w:r>
      <w:r w:rsidR="00E221A3" w:rsidRPr="00C544AF">
        <w:rPr>
          <w:rFonts w:ascii="Times New Roman" w:hAnsi="Times New Roman"/>
          <w:szCs w:val="24"/>
        </w:rPr>
        <w:t xml:space="preserve">Section 315.130 “Special Enforcement Areas” </w:t>
      </w:r>
      <w:r w:rsidR="00B27EA2" w:rsidRPr="00C544AF">
        <w:rPr>
          <w:rFonts w:ascii="Times New Roman" w:hAnsi="Times New Roman"/>
          <w:szCs w:val="24"/>
        </w:rPr>
        <w:t>is hereby amended b</w:t>
      </w:r>
      <w:r w:rsidR="00A66748" w:rsidRPr="00C544AF">
        <w:rPr>
          <w:rFonts w:ascii="Times New Roman" w:hAnsi="Times New Roman"/>
          <w:szCs w:val="24"/>
        </w:rPr>
        <w:t xml:space="preserve">y </w:t>
      </w:r>
      <w:r w:rsidR="00234154" w:rsidRPr="00C544AF">
        <w:rPr>
          <w:rFonts w:ascii="Times New Roman" w:hAnsi="Times New Roman"/>
          <w:szCs w:val="24"/>
        </w:rPr>
        <w:t xml:space="preserve">adding </w:t>
      </w:r>
      <w:r w:rsidR="001B2CDF">
        <w:rPr>
          <w:rFonts w:ascii="Times New Roman" w:hAnsi="Times New Roman"/>
          <w:szCs w:val="24"/>
        </w:rPr>
        <w:t xml:space="preserve">a portion of </w:t>
      </w:r>
      <w:r w:rsidR="00440502" w:rsidRPr="00C544AF">
        <w:rPr>
          <w:rFonts w:ascii="Times New Roman" w:hAnsi="Times New Roman"/>
          <w:szCs w:val="24"/>
        </w:rPr>
        <w:t>Crescent Road to the list of special enforcement areas</w:t>
      </w:r>
      <w:r w:rsidR="00116996">
        <w:rPr>
          <w:rFonts w:ascii="Times New Roman" w:hAnsi="Times New Roman"/>
          <w:szCs w:val="24"/>
        </w:rPr>
        <w:t xml:space="preserve"> in Subsection B</w:t>
      </w:r>
      <w:r w:rsidR="00440502" w:rsidRPr="00C544AF">
        <w:rPr>
          <w:rFonts w:ascii="Times New Roman" w:hAnsi="Times New Roman"/>
          <w:szCs w:val="24"/>
        </w:rPr>
        <w:t>, as follows</w:t>
      </w:r>
      <w:r w:rsidR="00B27EA2" w:rsidRPr="00C544AF">
        <w:rPr>
          <w:rFonts w:ascii="Times New Roman" w:hAnsi="Times New Roman"/>
          <w:szCs w:val="24"/>
        </w:rPr>
        <w:t xml:space="preserve">: </w:t>
      </w:r>
    </w:p>
    <w:p w14:paraId="0B345CAD" w14:textId="774B85B7" w:rsidR="00440502" w:rsidRPr="00C544AF" w:rsidRDefault="00440502" w:rsidP="00440502">
      <w:pPr>
        <w:widowControl w:val="0"/>
        <w:tabs>
          <w:tab w:val="left" w:pos="720"/>
          <w:tab w:val="left" w:pos="1440"/>
          <w:tab w:val="center" w:pos="4680"/>
        </w:tabs>
        <w:autoSpaceDE w:val="0"/>
        <w:autoSpaceDN w:val="0"/>
        <w:adjustRightInd w:val="0"/>
        <w:snapToGrid w:val="0"/>
        <w:spacing w:after="240"/>
        <w:jc w:val="both"/>
        <w:rPr>
          <w:rFonts w:ascii="Times New Roman" w:hAnsi="Times New Roman"/>
          <w:b/>
          <w:bCs/>
          <w:szCs w:val="24"/>
        </w:rPr>
      </w:pPr>
      <w:r w:rsidRPr="00C544AF">
        <w:rPr>
          <w:rFonts w:ascii="Times New Roman" w:hAnsi="Times New Roman"/>
          <w:szCs w:val="24"/>
        </w:rPr>
        <w:tab/>
      </w:r>
      <w:r w:rsidRPr="00C544AF">
        <w:rPr>
          <w:rFonts w:ascii="Times New Roman" w:hAnsi="Times New Roman"/>
          <w:b/>
          <w:bCs/>
          <w:szCs w:val="24"/>
        </w:rPr>
        <w:t xml:space="preserve">Section 315.130 Special Enforcement Areas. </w:t>
      </w:r>
    </w:p>
    <w:p w14:paraId="4F02FA21" w14:textId="77777777" w:rsidR="00440502" w:rsidRPr="00C544AF" w:rsidRDefault="00440502" w:rsidP="00440502">
      <w:pPr>
        <w:widowControl w:val="0"/>
        <w:tabs>
          <w:tab w:val="left" w:pos="720"/>
          <w:tab w:val="left" w:pos="1440"/>
          <w:tab w:val="center" w:pos="4680"/>
        </w:tabs>
        <w:autoSpaceDE w:val="0"/>
        <w:autoSpaceDN w:val="0"/>
        <w:adjustRightInd w:val="0"/>
        <w:snapToGrid w:val="0"/>
        <w:spacing w:after="240"/>
        <w:ind w:left="720"/>
        <w:jc w:val="both"/>
        <w:rPr>
          <w:rFonts w:ascii="Times New Roman" w:hAnsi="Times New Roman"/>
          <w:szCs w:val="24"/>
        </w:rPr>
      </w:pPr>
      <w:r w:rsidRPr="00C544AF">
        <w:rPr>
          <w:rFonts w:ascii="Times New Roman" w:hAnsi="Times New Roman"/>
          <w:szCs w:val="24"/>
        </w:rPr>
        <w:t>A.</w:t>
      </w:r>
      <w:r w:rsidRPr="00C544AF">
        <w:rPr>
          <w:rFonts w:ascii="Times New Roman" w:hAnsi="Times New Roman"/>
          <w:szCs w:val="24"/>
        </w:rPr>
        <w:tab/>
        <w:t xml:space="preserve">Whenever authorized signs are erected pursuant to the authority granted in Section 315.120 indicating any street or part thereof as a special enforcement area, no person shall drive in such area without exercising the greatest care. </w:t>
      </w:r>
    </w:p>
    <w:p w14:paraId="4042AB04" w14:textId="77777777" w:rsidR="00440502" w:rsidRPr="00C544AF" w:rsidRDefault="00440502" w:rsidP="00440502">
      <w:pPr>
        <w:widowControl w:val="0"/>
        <w:tabs>
          <w:tab w:val="left" w:pos="720"/>
          <w:tab w:val="left" w:pos="1440"/>
          <w:tab w:val="center" w:pos="4680"/>
        </w:tabs>
        <w:autoSpaceDE w:val="0"/>
        <w:autoSpaceDN w:val="0"/>
        <w:adjustRightInd w:val="0"/>
        <w:snapToGrid w:val="0"/>
        <w:spacing w:after="240"/>
        <w:ind w:left="720"/>
        <w:jc w:val="both"/>
        <w:rPr>
          <w:rFonts w:ascii="Times New Roman" w:hAnsi="Times New Roman"/>
          <w:szCs w:val="24"/>
        </w:rPr>
      </w:pPr>
      <w:r w:rsidRPr="00C544AF">
        <w:rPr>
          <w:rFonts w:ascii="Times New Roman" w:hAnsi="Times New Roman"/>
          <w:szCs w:val="24"/>
        </w:rPr>
        <w:t>B.</w:t>
      </w:r>
      <w:r w:rsidRPr="00C544AF">
        <w:rPr>
          <w:rFonts w:ascii="Times New Roman" w:hAnsi="Times New Roman"/>
          <w:szCs w:val="24"/>
        </w:rPr>
        <w:tab/>
        <w:t>The following streets or portions thereof are hereby identified as special enforcement areas:</w:t>
      </w:r>
    </w:p>
    <w:p w14:paraId="58A788ED" w14:textId="152BB807" w:rsidR="00440502" w:rsidRPr="00C544AF" w:rsidRDefault="00440502" w:rsidP="0044050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autoSpaceDE w:val="0"/>
        <w:autoSpaceDN w:val="0"/>
        <w:adjustRightInd w:val="0"/>
        <w:snapToGrid w:val="0"/>
        <w:spacing w:after="240"/>
        <w:ind w:left="2160" w:hanging="720"/>
        <w:jc w:val="both"/>
        <w:rPr>
          <w:rFonts w:ascii="Times New Roman" w:hAnsi="Times New Roman"/>
          <w:szCs w:val="24"/>
        </w:rPr>
      </w:pPr>
      <w:r w:rsidRPr="00C544AF">
        <w:rPr>
          <w:rFonts w:ascii="Times New Roman" w:hAnsi="Times New Roman"/>
          <w:szCs w:val="24"/>
        </w:rPr>
        <w:t>1.</w:t>
      </w:r>
      <w:r w:rsidRPr="00C544AF">
        <w:rPr>
          <w:rFonts w:ascii="Times New Roman" w:hAnsi="Times New Roman"/>
          <w:szCs w:val="24"/>
        </w:rPr>
        <w:tab/>
        <w:t xml:space="preserve">Autumn Leaf Drive, from its intersection with Boly Lane to its intersection with Birnamwood Trails Drive. </w:t>
      </w:r>
    </w:p>
    <w:p w14:paraId="2E3CC916" w14:textId="28810070" w:rsidR="00440502" w:rsidRPr="00C544AF" w:rsidRDefault="00440502" w:rsidP="00440502">
      <w:pPr>
        <w:widowControl w:val="0"/>
        <w:tabs>
          <w:tab w:val="left" w:pos="720"/>
          <w:tab w:val="left" w:pos="1440"/>
          <w:tab w:val="left" w:pos="2160"/>
          <w:tab w:val="left" w:pos="2250"/>
          <w:tab w:val="left" w:pos="2880"/>
          <w:tab w:val="center" w:pos="4680"/>
        </w:tabs>
        <w:autoSpaceDE w:val="0"/>
        <w:autoSpaceDN w:val="0"/>
        <w:adjustRightInd w:val="0"/>
        <w:snapToGrid w:val="0"/>
        <w:spacing w:after="240"/>
        <w:ind w:left="2160" w:hanging="720"/>
        <w:jc w:val="both"/>
        <w:rPr>
          <w:rFonts w:ascii="Times New Roman" w:hAnsi="Times New Roman"/>
          <w:szCs w:val="24"/>
        </w:rPr>
      </w:pPr>
      <w:r w:rsidRPr="00C544AF">
        <w:rPr>
          <w:rFonts w:ascii="Times New Roman" w:hAnsi="Times New Roman"/>
          <w:szCs w:val="24"/>
        </w:rPr>
        <w:t>2.</w:t>
      </w:r>
      <w:r w:rsidRPr="00C544AF">
        <w:rPr>
          <w:rFonts w:ascii="Times New Roman" w:hAnsi="Times New Roman"/>
          <w:szCs w:val="24"/>
        </w:rPr>
        <w:tab/>
        <w:t xml:space="preserve">Boly Lane, entire length. </w:t>
      </w:r>
    </w:p>
    <w:p w14:paraId="2D1AF68C" w14:textId="4E8451C2" w:rsidR="00440502" w:rsidRPr="00C544AF" w:rsidRDefault="00440502" w:rsidP="00440502">
      <w:pPr>
        <w:widowControl w:val="0"/>
        <w:tabs>
          <w:tab w:val="left" w:pos="720"/>
          <w:tab w:val="left" w:pos="1440"/>
          <w:tab w:val="left" w:pos="2160"/>
          <w:tab w:val="center" w:pos="4680"/>
        </w:tabs>
        <w:autoSpaceDE w:val="0"/>
        <w:autoSpaceDN w:val="0"/>
        <w:adjustRightInd w:val="0"/>
        <w:snapToGrid w:val="0"/>
        <w:spacing w:after="240"/>
        <w:ind w:left="2160" w:hanging="720"/>
        <w:jc w:val="both"/>
        <w:rPr>
          <w:rFonts w:ascii="Times New Roman" w:hAnsi="Times New Roman"/>
          <w:szCs w:val="24"/>
        </w:rPr>
      </w:pPr>
      <w:r w:rsidRPr="00C544AF">
        <w:rPr>
          <w:rFonts w:ascii="Times New Roman" w:hAnsi="Times New Roman"/>
          <w:szCs w:val="24"/>
        </w:rPr>
        <w:t>3.</w:t>
      </w:r>
      <w:r w:rsidRPr="00C544AF">
        <w:rPr>
          <w:rFonts w:ascii="Times New Roman" w:hAnsi="Times New Roman"/>
          <w:szCs w:val="24"/>
        </w:rPr>
        <w:tab/>
        <w:t>Crescent Avenue, from its intersection with Robert Hartzog Lane to its intersection with Crescent Road.</w:t>
      </w:r>
    </w:p>
    <w:p w14:paraId="6E17EEE9" w14:textId="7F7EF7BC" w:rsidR="00440502" w:rsidRPr="00C544AF" w:rsidRDefault="00440502" w:rsidP="00C544AF">
      <w:pPr>
        <w:widowControl w:val="0"/>
        <w:tabs>
          <w:tab w:val="left" w:pos="720"/>
          <w:tab w:val="left" w:pos="1440"/>
          <w:tab w:val="left" w:pos="2160"/>
          <w:tab w:val="center" w:pos="4680"/>
        </w:tabs>
        <w:autoSpaceDE w:val="0"/>
        <w:autoSpaceDN w:val="0"/>
        <w:adjustRightInd w:val="0"/>
        <w:snapToGrid w:val="0"/>
        <w:spacing w:after="240"/>
        <w:ind w:left="2160" w:hanging="720"/>
        <w:jc w:val="both"/>
        <w:rPr>
          <w:rFonts w:ascii="Times New Roman" w:hAnsi="Times New Roman"/>
          <w:szCs w:val="24"/>
          <w:u w:val="single"/>
        </w:rPr>
      </w:pPr>
      <w:r w:rsidRPr="00C544AF">
        <w:rPr>
          <w:rFonts w:ascii="Times New Roman" w:hAnsi="Times New Roman"/>
          <w:szCs w:val="24"/>
          <w:u w:val="single"/>
        </w:rPr>
        <w:t>4.</w:t>
      </w:r>
      <w:r w:rsidRPr="00C544AF">
        <w:rPr>
          <w:rFonts w:ascii="Times New Roman" w:hAnsi="Times New Roman"/>
          <w:szCs w:val="24"/>
          <w:u w:val="single"/>
        </w:rPr>
        <w:tab/>
        <w:t>Crescent Road, from the western City limits two hundred (200) feet to the western edge of the driveway at 157 Crescent Road.</w:t>
      </w:r>
    </w:p>
    <w:p w14:paraId="591AC2CB" w14:textId="77777777" w:rsidR="00C4552E" w:rsidRDefault="00440502" w:rsidP="00440502">
      <w:pPr>
        <w:widowControl w:val="0"/>
        <w:tabs>
          <w:tab w:val="left" w:pos="720"/>
          <w:tab w:val="left" w:pos="1440"/>
          <w:tab w:val="center" w:pos="4680"/>
        </w:tabs>
        <w:autoSpaceDE w:val="0"/>
        <w:autoSpaceDN w:val="0"/>
        <w:adjustRightInd w:val="0"/>
        <w:snapToGrid w:val="0"/>
        <w:spacing w:after="240"/>
        <w:jc w:val="both"/>
        <w:rPr>
          <w:rFonts w:ascii="Times New Roman" w:hAnsi="Times New Roman"/>
          <w:b/>
          <w:szCs w:val="24"/>
        </w:rPr>
      </w:pPr>
      <w:r w:rsidRPr="00C544AF">
        <w:rPr>
          <w:rFonts w:ascii="Times New Roman" w:hAnsi="Times New Roman"/>
          <w:b/>
          <w:szCs w:val="24"/>
        </w:rPr>
        <w:tab/>
      </w:r>
    </w:p>
    <w:p w14:paraId="451C1EA7" w14:textId="5E272EB4" w:rsidR="00440502" w:rsidRPr="00C544AF" w:rsidRDefault="00C4552E" w:rsidP="00C4552E">
      <w:pPr>
        <w:widowControl w:val="0"/>
        <w:tabs>
          <w:tab w:val="left" w:pos="720"/>
          <w:tab w:val="left" w:pos="1440"/>
          <w:tab w:val="center" w:pos="4680"/>
        </w:tabs>
        <w:autoSpaceDE w:val="0"/>
        <w:autoSpaceDN w:val="0"/>
        <w:adjustRightInd w:val="0"/>
        <w:snapToGrid w:val="0"/>
        <w:spacing w:after="240"/>
        <w:ind w:left="72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ab/>
      </w:r>
      <w:r w:rsidR="00440502" w:rsidRPr="00C544AF">
        <w:rPr>
          <w:rFonts w:ascii="Times New Roman" w:hAnsi="Times New Roman"/>
          <w:b/>
          <w:szCs w:val="24"/>
        </w:rPr>
        <w:t>Section 2:</w:t>
      </w:r>
      <w:r w:rsidR="00440502" w:rsidRPr="00C544AF">
        <w:rPr>
          <w:rFonts w:ascii="Times New Roman" w:hAnsi="Times New Roman"/>
          <w:szCs w:val="24"/>
        </w:rPr>
        <w:tab/>
        <w:t xml:space="preserve"> The Municipal Code is further amended by adding a new Section 315.13</w:t>
      </w:r>
      <w:r w:rsidR="00C544AF" w:rsidRPr="00C544AF">
        <w:rPr>
          <w:rFonts w:ascii="Times New Roman" w:hAnsi="Times New Roman"/>
          <w:szCs w:val="24"/>
        </w:rPr>
        <w:t>5 entitled</w:t>
      </w:r>
      <w:r w:rsidR="00440502" w:rsidRPr="00C544AF">
        <w:rPr>
          <w:rFonts w:ascii="Times New Roman" w:hAnsi="Times New Roman"/>
          <w:szCs w:val="24"/>
        </w:rPr>
        <w:t xml:space="preserve"> “Special Enforcement Areas</w:t>
      </w:r>
      <w:r w:rsidR="00C544AF" w:rsidRPr="00C544AF">
        <w:rPr>
          <w:rFonts w:ascii="Times New Roman" w:hAnsi="Times New Roman"/>
          <w:szCs w:val="24"/>
        </w:rPr>
        <w:t>; Double Fines; Applicable Infractions</w:t>
      </w:r>
      <w:r w:rsidR="001B2CDF">
        <w:rPr>
          <w:rFonts w:ascii="Times New Roman" w:hAnsi="Times New Roman"/>
          <w:szCs w:val="24"/>
        </w:rPr>
        <w:t>,</w:t>
      </w:r>
      <w:r w:rsidR="00440502" w:rsidRPr="00C544AF">
        <w:rPr>
          <w:rFonts w:ascii="Times New Roman" w:hAnsi="Times New Roman"/>
          <w:szCs w:val="24"/>
        </w:rPr>
        <w:t xml:space="preserve">” </w:t>
      </w:r>
      <w:r w:rsidR="00C544AF" w:rsidRPr="00C544AF">
        <w:rPr>
          <w:rFonts w:ascii="Times New Roman" w:hAnsi="Times New Roman"/>
          <w:szCs w:val="24"/>
        </w:rPr>
        <w:t xml:space="preserve">to read </w:t>
      </w:r>
      <w:r w:rsidR="00440502" w:rsidRPr="00C544AF">
        <w:rPr>
          <w:rFonts w:ascii="Times New Roman" w:hAnsi="Times New Roman"/>
          <w:szCs w:val="24"/>
        </w:rPr>
        <w:t>as follows:</w:t>
      </w:r>
    </w:p>
    <w:p w14:paraId="749FEEAF" w14:textId="46119A12" w:rsidR="00C544AF" w:rsidRPr="00C544AF" w:rsidRDefault="00C544AF" w:rsidP="00C544AF">
      <w:pPr>
        <w:widowControl w:val="0"/>
        <w:tabs>
          <w:tab w:val="left" w:pos="720"/>
          <w:tab w:val="left" w:pos="1440"/>
          <w:tab w:val="center" w:pos="4680"/>
        </w:tabs>
        <w:autoSpaceDE w:val="0"/>
        <w:autoSpaceDN w:val="0"/>
        <w:adjustRightInd w:val="0"/>
        <w:snapToGrid w:val="0"/>
        <w:spacing w:after="240"/>
        <w:jc w:val="both"/>
        <w:rPr>
          <w:rFonts w:ascii="Times New Roman" w:hAnsi="Times New Roman"/>
          <w:b/>
          <w:bCs/>
          <w:szCs w:val="24"/>
        </w:rPr>
      </w:pPr>
      <w:r w:rsidRPr="00C544AF">
        <w:rPr>
          <w:rFonts w:ascii="Times New Roman" w:hAnsi="Times New Roman"/>
          <w:b/>
          <w:bCs/>
          <w:szCs w:val="24"/>
        </w:rPr>
        <w:tab/>
        <w:t>Section 315.135 Special Enforcement Areas</w:t>
      </w:r>
      <w:r w:rsidRPr="00C544AF">
        <w:rPr>
          <w:rFonts w:ascii="Times New Roman" w:hAnsi="Times New Roman"/>
          <w:szCs w:val="24"/>
        </w:rPr>
        <w:t xml:space="preserve">; </w:t>
      </w:r>
      <w:r w:rsidRPr="00C544AF">
        <w:rPr>
          <w:rFonts w:ascii="Times New Roman" w:hAnsi="Times New Roman"/>
          <w:b/>
          <w:bCs/>
          <w:szCs w:val="24"/>
        </w:rPr>
        <w:t xml:space="preserve">Double Fines; Applicable Infractions. </w:t>
      </w:r>
    </w:p>
    <w:p w14:paraId="099C8066" w14:textId="3C0A3525" w:rsidR="007D3C6C" w:rsidRPr="00C544AF" w:rsidRDefault="003B38DA" w:rsidP="00F6094A">
      <w:pPr>
        <w:pStyle w:val="ListParagraph"/>
        <w:numPr>
          <w:ilvl w:val="0"/>
          <w:numId w:val="7"/>
        </w:numPr>
        <w:snapToGrid w:val="0"/>
        <w:spacing w:after="240"/>
        <w:jc w:val="both"/>
        <w:rPr>
          <w:rFonts w:ascii="Times New Roman" w:hAnsi="Times New Roman"/>
          <w:bCs/>
          <w:szCs w:val="24"/>
        </w:rPr>
      </w:pPr>
      <w:bookmarkStart w:id="1" w:name="1411"/>
      <w:r w:rsidRPr="00C544AF">
        <w:rPr>
          <w:rFonts w:ascii="Times New Roman" w:hAnsi="Times New Roman"/>
          <w:bCs/>
          <w:i/>
          <w:szCs w:val="24"/>
        </w:rPr>
        <w:t>Establishment</w:t>
      </w:r>
      <w:r w:rsidR="00071F44" w:rsidRPr="00C544AF">
        <w:rPr>
          <w:rFonts w:ascii="Times New Roman" w:hAnsi="Times New Roman"/>
          <w:bCs/>
          <w:szCs w:val="24"/>
        </w:rPr>
        <w:t xml:space="preserve">. </w:t>
      </w:r>
      <w:r w:rsidR="006457E5">
        <w:rPr>
          <w:rFonts w:ascii="Times New Roman" w:hAnsi="Times New Roman"/>
          <w:bCs/>
          <w:szCs w:val="24"/>
        </w:rPr>
        <w:t>T</w:t>
      </w:r>
      <w:r w:rsidR="00C501B8" w:rsidRPr="00C544AF">
        <w:rPr>
          <w:rFonts w:ascii="Times New Roman" w:hAnsi="Times New Roman"/>
          <w:bCs/>
          <w:szCs w:val="24"/>
        </w:rPr>
        <w:t xml:space="preserve">he </w:t>
      </w:r>
      <w:r w:rsidR="007D3C6C" w:rsidRPr="00C544AF">
        <w:rPr>
          <w:rFonts w:ascii="Times New Roman" w:hAnsi="Times New Roman"/>
          <w:bCs/>
          <w:szCs w:val="24"/>
        </w:rPr>
        <w:t xml:space="preserve">Board </w:t>
      </w:r>
      <w:r w:rsidR="006457E5">
        <w:rPr>
          <w:rFonts w:ascii="Times New Roman" w:hAnsi="Times New Roman"/>
          <w:bCs/>
          <w:szCs w:val="24"/>
        </w:rPr>
        <w:t xml:space="preserve">may </w:t>
      </w:r>
      <w:r w:rsidRPr="00C544AF">
        <w:rPr>
          <w:rFonts w:ascii="Times New Roman" w:hAnsi="Times New Roman"/>
          <w:bCs/>
          <w:szCs w:val="24"/>
        </w:rPr>
        <w:t xml:space="preserve">determine that it is necessary for public safety </w:t>
      </w:r>
      <w:r w:rsidR="006457E5">
        <w:rPr>
          <w:rFonts w:ascii="Times New Roman" w:hAnsi="Times New Roman"/>
          <w:bCs/>
          <w:szCs w:val="24"/>
        </w:rPr>
        <w:t xml:space="preserve">in </w:t>
      </w:r>
      <w:r w:rsidR="00241E5A">
        <w:rPr>
          <w:rFonts w:ascii="Times New Roman" w:hAnsi="Times New Roman"/>
          <w:bCs/>
          <w:szCs w:val="24"/>
        </w:rPr>
        <w:t>an</w:t>
      </w:r>
      <w:r w:rsidR="007D3C6C" w:rsidRPr="00C544AF">
        <w:rPr>
          <w:rFonts w:ascii="Times New Roman" w:hAnsi="Times New Roman"/>
          <w:bCs/>
          <w:szCs w:val="24"/>
        </w:rPr>
        <w:t xml:space="preserve"> area </w:t>
      </w:r>
      <w:r w:rsidRPr="00C544AF">
        <w:rPr>
          <w:rFonts w:ascii="Times New Roman" w:hAnsi="Times New Roman"/>
          <w:bCs/>
          <w:szCs w:val="24"/>
        </w:rPr>
        <w:t xml:space="preserve">designated </w:t>
      </w:r>
      <w:r w:rsidR="007D3C6C" w:rsidRPr="00C544AF">
        <w:rPr>
          <w:rFonts w:ascii="Times New Roman" w:hAnsi="Times New Roman"/>
          <w:bCs/>
          <w:szCs w:val="24"/>
        </w:rPr>
        <w:t xml:space="preserve">as a </w:t>
      </w:r>
      <w:r w:rsidR="00C544AF" w:rsidRPr="00C544AF">
        <w:rPr>
          <w:rFonts w:ascii="Times New Roman" w:hAnsi="Times New Roman"/>
          <w:bCs/>
          <w:szCs w:val="24"/>
        </w:rPr>
        <w:t>Special Enforcement Area</w:t>
      </w:r>
      <w:r w:rsidR="007D3C6C" w:rsidRPr="00C544AF">
        <w:rPr>
          <w:rFonts w:ascii="Times New Roman" w:hAnsi="Times New Roman"/>
          <w:bCs/>
          <w:szCs w:val="24"/>
        </w:rPr>
        <w:t xml:space="preserve">, </w:t>
      </w:r>
      <w:r w:rsidR="00241E5A">
        <w:rPr>
          <w:rFonts w:ascii="Times New Roman" w:hAnsi="Times New Roman"/>
          <w:bCs/>
          <w:szCs w:val="24"/>
        </w:rPr>
        <w:t xml:space="preserve">that </w:t>
      </w:r>
      <w:r w:rsidRPr="00C544AF">
        <w:rPr>
          <w:rFonts w:ascii="Times New Roman" w:hAnsi="Times New Roman"/>
          <w:bCs/>
          <w:szCs w:val="24"/>
        </w:rPr>
        <w:t xml:space="preserve">fines </w:t>
      </w:r>
      <w:r w:rsidR="006457E5">
        <w:rPr>
          <w:rFonts w:ascii="Times New Roman" w:hAnsi="Times New Roman"/>
          <w:bCs/>
          <w:szCs w:val="24"/>
        </w:rPr>
        <w:t>be</w:t>
      </w:r>
      <w:r w:rsidR="00A829D4" w:rsidRPr="00C544AF">
        <w:rPr>
          <w:rFonts w:ascii="Times New Roman" w:hAnsi="Times New Roman"/>
          <w:bCs/>
          <w:szCs w:val="24"/>
        </w:rPr>
        <w:t xml:space="preserve"> double</w:t>
      </w:r>
      <w:r w:rsidR="00241E5A">
        <w:rPr>
          <w:rFonts w:ascii="Times New Roman" w:hAnsi="Times New Roman"/>
          <w:bCs/>
          <w:szCs w:val="24"/>
        </w:rPr>
        <w:t>d. If such a determination is made by the Board,</w:t>
      </w:r>
      <w:r w:rsidR="00A829D4" w:rsidRPr="00C544AF">
        <w:rPr>
          <w:rFonts w:ascii="Times New Roman" w:hAnsi="Times New Roman"/>
          <w:bCs/>
          <w:szCs w:val="24"/>
        </w:rPr>
        <w:t xml:space="preserve"> the standard fine </w:t>
      </w:r>
      <w:r w:rsidRPr="00C544AF">
        <w:rPr>
          <w:rFonts w:ascii="Times New Roman" w:hAnsi="Times New Roman"/>
          <w:bCs/>
          <w:szCs w:val="24"/>
        </w:rPr>
        <w:t xml:space="preserve">for traffic violations </w:t>
      </w:r>
      <w:r w:rsidR="00F724AD">
        <w:rPr>
          <w:rFonts w:ascii="Times New Roman" w:hAnsi="Times New Roman"/>
          <w:bCs/>
          <w:szCs w:val="24"/>
        </w:rPr>
        <w:t xml:space="preserve">set forth in subsection B </w:t>
      </w:r>
      <w:r w:rsidRPr="00C544AF">
        <w:rPr>
          <w:rFonts w:ascii="Times New Roman" w:hAnsi="Times New Roman"/>
          <w:bCs/>
          <w:szCs w:val="24"/>
        </w:rPr>
        <w:t>in that area</w:t>
      </w:r>
      <w:r w:rsidR="00F724AD">
        <w:rPr>
          <w:rFonts w:ascii="Times New Roman" w:hAnsi="Times New Roman"/>
          <w:bCs/>
          <w:szCs w:val="24"/>
        </w:rPr>
        <w:t xml:space="preserve"> shall be doubled as set forth therein</w:t>
      </w:r>
      <w:r w:rsidR="007D3C6C" w:rsidRPr="00C544AF">
        <w:rPr>
          <w:rFonts w:ascii="Times New Roman" w:hAnsi="Times New Roman"/>
          <w:bCs/>
          <w:szCs w:val="24"/>
        </w:rPr>
        <w:t>.</w:t>
      </w:r>
      <w:r w:rsidR="009A1371" w:rsidRPr="00C544AF">
        <w:rPr>
          <w:rFonts w:ascii="Times New Roman" w:hAnsi="Times New Roman"/>
          <w:bCs/>
          <w:szCs w:val="24"/>
        </w:rPr>
        <w:t xml:space="preserve"> Any streets, or portions thereof, within </w:t>
      </w:r>
      <w:r w:rsidR="006457E5">
        <w:rPr>
          <w:rFonts w:ascii="Times New Roman" w:hAnsi="Times New Roman"/>
          <w:bCs/>
          <w:szCs w:val="24"/>
        </w:rPr>
        <w:t>a Special Enforcement Area</w:t>
      </w:r>
      <w:r w:rsidR="009A1371" w:rsidRPr="00C544AF">
        <w:rPr>
          <w:rFonts w:ascii="Times New Roman" w:hAnsi="Times New Roman"/>
          <w:bCs/>
          <w:szCs w:val="24"/>
        </w:rPr>
        <w:t xml:space="preserve"> of the City that are designated by ordinance as double fine zones as provided herein shall be listed on</w:t>
      </w:r>
      <w:r w:rsidR="00174C24" w:rsidRPr="00C544AF">
        <w:rPr>
          <w:rFonts w:ascii="Times New Roman" w:hAnsi="Times New Roman"/>
          <w:bCs/>
          <w:szCs w:val="24"/>
        </w:rPr>
        <w:t xml:space="preserve"> a schedule entitled</w:t>
      </w:r>
      <w:r w:rsidR="009A1371" w:rsidRPr="00C544AF">
        <w:rPr>
          <w:rFonts w:ascii="Times New Roman" w:hAnsi="Times New Roman"/>
          <w:bCs/>
          <w:szCs w:val="24"/>
        </w:rPr>
        <w:t xml:space="preserve"> </w:t>
      </w:r>
      <w:r w:rsidR="009A1371" w:rsidRPr="00C544AF">
        <w:rPr>
          <w:rFonts w:ascii="Times New Roman" w:hAnsi="Times New Roman"/>
          <w:bCs/>
          <w:i/>
          <w:szCs w:val="24"/>
        </w:rPr>
        <w:t xml:space="preserve">Schedule </w:t>
      </w:r>
      <w:r w:rsidR="00C544AF" w:rsidRPr="00C544AF">
        <w:rPr>
          <w:rFonts w:ascii="Times New Roman" w:hAnsi="Times New Roman"/>
          <w:bCs/>
          <w:i/>
          <w:szCs w:val="24"/>
        </w:rPr>
        <w:t>VII</w:t>
      </w:r>
      <w:r w:rsidR="009A1371" w:rsidRPr="00C544AF">
        <w:rPr>
          <w:rFonts w:ascii="Times New Roman" w:hAnsi="Times New Roman"/>
          <w:bCs/>
          <w:i/>
          <w:szCs w:val="24"/>
        </w:rPr>
        <w:t>I</w:t>
      </w:r>
      <w:r w:rsidR="009A1371" w:rsidRPr="00C544AF">
        <w:rPr>
          <w:rFonts w:ascii="Times New Roman" w:hAnsi="Times New Roman"/>
          <w:bCs/>
          <w:szCs w:val="24"/>
        </w:rPr>
        <w:t xml:space="preserve"> </w:t>
      </w:r>
      <w:r w:rsidR="00C544AF" w:rsidRPr="00C544AF">
        <w:rPr>
          <w:rFonts w:ascii="Times New Roman" w:hAnsi="Times New Roman"/>
          <w:bCs/>
          <w:szCs w:val="24"/>
        </w:rPr>
        <w:t>–</w:t>
      </w:r>
      <w:r w:rsidR="00174C24" w:rsidRPr="00C544AF">
        <w:rPr>
          <w:rFonts w:ascii="Times New Roman" w:hAnsi="Times New Roman"/>
          <w:bCs/>
          <w:szCs w:val="24"/>
        </w:rPr>
        <w:t xml:space="preserve"> </w:t>
      </w:r>
      <w:r w:rsidR="00C544AF" w:rsidRPr="00C544AF">
        <w:rPr>
          <w:rFonts w:ascii="Times New Roman" w:hAnsi="Times New Roman"/>
          <w:bCs/>
          <w:i/>
          <w:iCs/>
          <w:szCs w:val="24"/>
        </w:rPr>
        <w:t>Special Enforcement Area</w:t>
      </w:r>
      <w:r w:rsidR="00C544AF" w:rsidRPr="00C544AF">
        <w:rPr>
          <w:rFonts w:ascii="Times New Roman" w:hAnsi="Times New Roman"/>
          <w:bCs/>
          <w:i/>
          <w:szCs w:val="24"/>
        </w:rPr>
        <w:t xml:space="preserve"> - Double Fine Zones</w:t>
      </w:r>
      <w:r w:rsidR="00174C24" w:rsidRPr="00C544AF">
        <w:rPr>
          <w:rFonts w:ascii="Times New Roman" w:hAnsi="Times New Roman"/>
          <w:bCs/>
          <w:szCs w:val="24"/>
        </w:rPr>
        <w:t xml:space="preserve">, </w:t>
      </w:r>
      <w:r w:rsidR="009A1371" w:rsidRPr="00C544AF">
        <w:rPr>
          <w:rFonts w:ascii="Times New Roman" w:hAnsi="Times New Roman"/>
          <w:bCs/>
          <w:szCs w:val="24"/>
        </w:rPr>
        <w:t xml:space="preserve">appended to </w:t>
      </w:r>
      <w:r w:rsidR="00174C24" w:rsidRPr="00C544AF">
        <w:rPr>
          <w:rFonts w:ascii="Times New Roman" w:hAnsi="Times New Roman"/>
          <w:bCs/>
          <w:szCs w:val="24"/>
        </w:rPr>
        <w:t xml:space="preserve">and printed in </w:t>
      </w:r>
      <w:r w:rsidR="009A1371" w:rsidRPr="00C544AF">
        <w:rPr>
          <w:rFonts w:ascii="Times New Roman" w:hAnsi="Times New Roman"/>
          <w:bCs/>
          <w:szCs w:val="24"/>
        </w:rPr>
        <w:t>the City’s Traffic Code.</w:t>
      </w:r>
    </w:p>
    <w:p w14:paraId="0246DA7F" w14:textId="77777777" w:rsidR="00071F44" w:rsidRPr="00C544AF" w:rsidRDefault="00071F44" w:rsidP="00F6094A">
      <w:pPr>
        <w:pStyle w:val="ListParagraph"/>
        <w:widowControl w:val="0"/>
        <w:numPr>
          <w:ilvl w:val="0"/>
          <w:numId w:val="7"/>
        </w:numPr>
        <w:tabs>
          <w:tab w:val="left" w:pos="360"/>
          <w:tab w:val="center" w:pos="4680"/>
        </w:tabs>
        <w:autoSpaceDE w:val="0"/>
        <w:autoSpaceDN w:val="0"/>
        <w:adjustRightInd w:val="0"/>
        <w:snapToGrid w:val="0"/>
        <w:spacing w:after="240"/>
        <w:jc w:val="both"/>
        <w:rPr>
          <w:rFonts w:ascii="Times New Roman" w:hAnsi="Times New Roman"/>
          <w:bCs/>
          <w:szCs w:val="24"/>
        </w:rPr>
      </w:pPr>
      <w:r w:rsidRPr="00C544AF">
        <w:rPr>
          <w:rFonts w:ascii="Times New Roman" w:hAnsi="Times New Roman"/>
          <w:bCs/>
          <w:i/>
          <w:szCs w:val="24"/>
        </w:rPr>
        <w:t>Double Fine Zone</w:t>
      </w:r>
      <w:r w:rsidRPr="00C544AF">
        <w:rPr>
          <w:rFonts w:ascii="Times New Roman" w:hAnsi="Times New Roman"/>
          <w:bCs/>
          <w:szCs w:val="24"/>
        </w:rPr>
        <w:t xml:space="preserve">.  </w:t>
      </w:r>
    </w:p>
    <w:p w14:paraId="294B9522" w14:textId="1428DF75" w:rsidR="00851E46" w:rsidRPr="00C544AF" w:rsidRDefault="00071F44" w:rsidP="00F6094A">
      <w:pPr>
        <w:pStyle w:val="ListParagraph"/>
        <w:widowControl w:val="0"/>
        <w:numPr>
          <w:ilvl w:val="1"/>
          <w:numId w:val="7"/>
        </w:numPr>
        <w:tabs>
          <w:tab w:val="left" w:pos="360"/>
          <w:tab w:val="center" w:pos="4680"/>
        </w:tabs>
        <w:autoSpaceDE w:val="0"/>
        <w:autoSpaceDN w:val="0"/>
        <w:adjustRightInd w:val="0"/>
        <w:snapToGrid w:val="0"/>
        <w:spacing w:after="240"/>
        <w:jc w:val="both"/>
        <w:rPr>
          <w:rFonts w:ascii="Times New Roman" w:hAnsi="Times New Roman"/>
          <w:bCs/>
          <w:szCs w:val="24"/>
        </w:rPr>
      </w:pPr>
      <w:r w:rsidRPr="00C544AF">
        <w:rPr>
          <w:rFonts w:ascii="Times New Roman" w:hAnsi="Times New Roman"/>
          <w:bCs/>
          <w:szCs w:val="24"/>
        </w:rPr>
        <w:t xml:space="preserve">If the Board designates </w:t>
      </w:r>
      <w:r w:rsidR="00F6094A" w:rsidRPr="00C544AF">
        <w:rPr>
          <w:rFonts w:ascii="Times New Roman" w:hAnsi="Times New Roman"/>
          <w:bCs/>
          <w:szCs w:val="24"/>
        </w:rPr>
        <w:t xml:space="preserve">a roadway, or portion thereof, </w:t>
      </w:r>
      <w:r w:rsidR="00702471">
        <w:rPr>
          <w:rFonts w:ascii="Times New Roman" w:hAnsi="Times New Roman"/>
          <w:bCs/>
          <w:szCs w:val="24"/>
        </w:rPr>
        <w:t xml:space="preserve">as a Special Enforcement Area </w:t>
      </w:r>
      <w:r w:rsidR="002761C3" w:rsidRPr="002761C3">
        <w:rPr>
          <w:rFonts w:ascii="Times New Roman" w:hAnsi="Times New Roman"/>
          <w:bCs/>
          <w:szCs w:val="24"/>
        </w:rPr>
        <w:t>subject to</w:t>
      </w:r>
      <w:r w:rsidRPr="002761C3">
        <w:rPr>
          <w:rFonts w:ascii="Times New Roman" w:hAnsi="Times New Roman"/>
          <w:bCs/>
          <w:szCs w:val="24"/>
        </w:rPr>
        <w:t xml:space="preserve"> </w:t>
      </w:r>
      <w:r w:rsidRPr="00C544AF">
        <w:rPr>
          <w:rFonts w:ascii="Times New Roman" w:hAnsi="Times New Roman"/>
          <w:bCs/>
          <w:szCs w:val="24"/>
        </w:rPr>
        <w:t>double fine</w:t>
      </w:r>
      <w:r w:rsidR="002761C3">
        <w:rPr>
          <w:rFonts w:ascii="Times New Roman" w:hAnsi="Times New Roman"/>
          <w:bCs/>
          <w:szCs w:val="24"/>
        </w:rPr>
        <w:t>s</w:t>
      </w:r>
      <w:r w:rsidRPr="00C544AF">
        <w:rPr>
          <w:rFonts w:ascii="Times New Roman" w:hAnsi="Times New Roman"/>
          <w:bCs/>
          <w:szCs w:val="24"/>
        </w:rPr>
        <w:t>, a</w:t>
      </w:r>
      <w:r w:rsidR="00234154" w:rsidRPr="00C544AF">
        <w:rPr>
          <w:rFonts w:ascii="Times New Roman" w:hAnsi="Times New Roman"/>
          <w:bCs/>
          <w:szCs w:val="24"/>
        </w:rPr>
        <w:t xml:space="preserve">nyone </w:t>
      </w:r>
      <w:r w:rsidR="00851E46" w:rsidRPr="00C544AF">
        <w:rPr>
          <w:rFonts w:ascii="Times New Roman" w:hAnsi="Times New Roman"/>
          <w:bCs/>
          <w:szCs w:val="24"/>
        </w:rPr>
        <w:t xml:space="preserve">found </w:t>
      </w:r>
      <w:r w:rsidR="00234154" w:rsidRPr="00C544AF">
        <w:rPr>
          <w:rFonts w:ascii="Times New Roman" w:hAnsi="Times New Roman"/>
          <w:bCs/>
          <w:szCs w:val="24"/>
        </w:rPr>
        <w:t>guilty of a</w:t>
      </w:r>
      <w:r w:rsidR="00501CD7" w:rsidRPr="00C544AF">
        <w:rPr>
          <w:rFonts w:ascii="Times New Roman" w:hAnsi="Times New Roman"/>
          <w:bCs/>
          <w:szCs w:val="24"/>
        </w:rPr>
        <w:t xml:space="preserve"> </w:t>
      </w:r>
      <w:r w:rsidR="00234154" w:rsidRPr="00C544AF">
        <w:rPr>
          <w:rFonts w:ascii="Times New Roman" w:hAnsi="Times New Roman"/>
          <w:bCs/>
          <w:szCs w:val="24"/>
        </w:rPr>
        <w:t>violation</w:t>
      </w:r>
      <w:r w:rsidR="00501CD7" w:rsidRPr="00C544AF">
        <w:rPr>
          <w:rFonts w:ascii="Times New Roman" w:hAnsi="Times New Roman"/>
          <w:bCs/>
          <w:szCs w:val="24"/>
        </w:rPr>
        <w:t xml:space="preserve"> involvi</w:t>
      </w:r>
      <w:r w:rsidR="00182E69" w:rsidRPr="00C544AF">
        <w:rPr>
          <w:rFonts w:ascii="Times New Roman" w:hAnsi="Times New Roman"/>
          <w:bCs/>
          <w:szCs w:val="24"/>
        </w:rPr>
        <w:t>ng</w:t>
      </w:r>
      <w:r w:rsidR="00851E46" w:rsidRPr="00C544AF">
        <w:rPr>
          <w:rFonts w:ascii="Times New Roman" w:hAnsi="Times New Roman"/>
          <w:bCs/>
          <w:szCs w:val="24"/>
        </w:rPr>
        <w:t>:</w:t>
      </w:r>
      <w:r w:rsidR="00182E69" w:rsidRPr="00C544AF">
        <w:rPr>
          <w:rFonts w:ascii="Times New Roman" w:hAnsi="Times New Roman"/>
          <w:bCs/>
          <w:szCs w:val="24"/>
        </w:rPr>
        <w:t xml:space="preserve"> </w:t>
      </w:r>
    </w:p>
    <w:p w14:paraId="7D2E16A6" w14:textId="6A037E3E" w:rsidR="00071F44" w:rsidRPr="00C544AF" w:rsidRDefault="00851E46" w:rsidP="00F6094A">
      <w:pPr>
        <w:pStyle w:val="ListParagraph"/>
        <w:widowControl w:val="0"/>
        <w:numPr>
          <w:ilvl w:val="2"/>
          <w:numId w:val="7"/>
        </w:numPr>
        <w:tabs>
          <w:tab w:val="left" w:pos="360"/>
          <w:tab w:val="center" w:pos="4680"/>
        </w:tabs>
        <w:autoSpaceDE w:val="0"/>
        <w:autoSpaceDN w:val="0"/>
        <w:adjustRightInd w:val="0"/>
        <w:snapToGrid w:val="0"/>
        <w:spacing w:after="240"/>
        <w:jc w:val="both"/>
        <w:rPr>
          <w:rFonts w:ascii="Times New Roman" w:hAnsi="Times New Roman"/>
          <w:bCs/>
          <w:szCs w:val="24"/>
        </w:rPr>
      </w:pPr>
      <w:r w:rsidRPr="00C544AF">
        <w:rPr>
          <w:rFonts w:ascii="Times New Roman" w:hAnsi="Times New Roman"/>
          <w:bCs/>
          <w:szCs w:val="24"/>
        </w:rPr>
        <w:t>Sections 320.030</w:t>
      </w:r>
      <w:r w:rsidR="00E44C29" w:rsidRPr="00C544AF">
        <w:rPr>
          <w:rFonts w:ascii="Times New Roman" w:hAnsi="Times New Roman"/>
          <w:bCs/>
          <w:szCs w:val="24"/>
        </w:rPr>
        <w:t xml:space="preserve"> </w:t>
      </w:r>
      <w:r w:rsidR="00F26DE7" w:rsidRPr="00C544AF">
        <w:rPr>
          <w:rFonts w:ascii="Times New Roman" w:hAnsi="Times New Roman"/>
          <w:bCs/>
          <w:szCs w:val="24"/>
        </w:rPr>
        <w:t>and 320.0</w:t>
      </w:r>
      <w:r w:rsidR="00E44C29" w:rsidRPr="00C544AF">
        <w:rPr>
          <w:rFonts w:ascii="Times New Roman" w:hAnsi="Times New Roman"/>
          <w:bCs/>
          <w:szCs w:val="24"/>
        </w:rPr>
        <w:t>5</w:t>
      </w:r>
      <w:r w:rsidRPr="00C544AF">
        <w:rPr>
          <w:rFonts w:ascii="Times New Roman" w:hAnsi="Times New Roman"/>
          <w:bCs/>
          <w:szCs w:val="24"/>
        </w:rPr>
        <w:t>0 (speeding);</w:t>
      </w:r>
    </w:p>
    <w:p w14:paraId="0D384124" w14:textId="547C6006" w:rsidR="00071F44" w:rsidRPr="00C544AF" w:rsidRDefault="00F26DE7" w:rsidP="00F6094A">
      <w:pPr>
        <w:pStyle w:val="ListParagraph"/>
        <w:widowControl w:val="0"/>
        <w:numPr>
          <w:ilvl w:val="2"/>
          <w:numId w:val="7"/>
        </w:numPr>
        <w:tabs>
          <w:tab w:val="left" w:pos="360"/>
          <w:tab w:val="center" w:pos="4680"/>
        </w:tabs>
        <w:autoSpaceDE w:val="0"/>
        <w:autoSpaceDN w:val="0"/>
        <w:adjustRightInd w:val="0"/>
        <w:snapToGrid w:val="0"/>
        <w:spacing w:after="240"/>
        <w:jc w:val="both"/>
        <w:rPr>
          <w:rFonts w:ascii="Times New Roman" w:hAnsi="Times New Roman"/>
          <w:bCs/>
          <w:szCs w:val="24"/>
        </w:rPr>
      </w:pPr>
      <w:r w:rsidRPr="00C544AF">
        <w:rPr>
          <w:rFonts w:ascii="Times New Roman" w:hAnsi="Times New Roman"/>
          <w:bCs/>
          <w:szCs w:val="24"/>
        </w:rPr>
        <w:t>Section 340.2</w:t>
      </w:r>
      <w:r w:rsidR="00E44C29" w:rsidRPr="00C544AF">
        <w:rPr>
          <w:rFonts w:ascii="Times New Roman" w:hAnsi="Times New Roman"/>
          <w:bCs/>
          <w:szCs w:val="24"/>
        </w:rPr>
        <w:t>2</w:t>
      </w:r>
      <w:r w:rsidR="00851E46" w:rsidRPr="00C544AF">
        <w:rPr>
          <w:rFonts w:ascii="Times New Roman" w:hAnsi="Times New Roman"/>
          <w:bCs/>
          <w:szCs w:val="24"/>
        </w:rPr>
        <w:t>0 (following too close);</w:t>
      </w:r>
    </w:p>
    <w:p w14:paraId="3B24ED89" w14:textId="1329EAF2" w:rsidR="00071F44" w:rsidRPr="00C544AF" w:rsidRDefault="00F26DE7" w:rsidP="00F6094A">
      <w:pPr>
        <w:pStyle w:val="ListParagraph"/>
        <w:widowControl w:val="0"/>
        <w:numPr>
          <w:ilvl w:val="2"/>
          <w:numId w:val="7"/>
        </w:numPr>
        <w:tabs>
          <w:tab w:val="left" w:pos="360"/>
          <w:tab w:val="center" w:pos="4680"/>
        </w:tabs>
        <w:autoSpaceDE w:val="0"/>
        <w:autoSpaceDN w:val="0"/>
        <w:adjustRightInd w:val="0"/>
        <w:snapToGrid w:val="0"/>
        <w:spacing w:after="240"/>
        <w:jc w:val="both"/>
        <w:rPr>
          <w:rFonts w:ascii="Times New Roman" w:hAnsi="Times New Roman"/>
          <w:bCs/>
          <w:szCs w:val="24"/>
        </w:rPr>
      </w:pPr>
      <w:r w:rsidRPr="00C544AF">
        <w:rPr>
          <w:rFonts w:ascii="Times New Roman" w:hAnsi="Times New Roman"/>
          <w:bCs/>
          <w:szCs w:val="24"/>
        </w:rPr>
        <w:t>Section 340.1</w:t>
      </w:r>
      <w:r w:rsidR="00E44C29" w:rsidRPr="00C544AF">
        <w:rPr>
          <w:rFonts w:ascii="Times New Roman" w:hAnsi="Times New Roman"/>
          <w:bCs/>
          <w:szCs w:val="24"/>
        </w:rPr>
        <w:t>6</w:t>
      </w:r>
      <w:r w:rsidR="00851E46" w:rsidRPr="00C544AF">
        <w:rPr>
          <w:rFonts w:ascii="Times New Roman" w:hAnsi="Times New Roman"/>
          <w:bCs/>
          <w:szCs w:val="24"/>
        </w:rPr>
        <w:t>0 (</w:t>
      </w:r>
      <w:r w:rsidR="00F6094A" w:rsidRPr="00C544AF">
        <w:rPr>
          <w:rFonts w:ascii="Times New Roman" w:hAnsi="Times New Roman"/>
          <w:bCs/>
          <w:szCs w:val="24"/>
        </w:rPr>
        <w:t>careless</w:t>
      </w:r>
      <w:r w:rsidR="00851E46" w:rsidRPr="00C544AF">
        <w:rPr>
          <w:rFonts w:ascii="Times New Roman" w:hAnsi="Times New Roman"/>
          <w:bCs/>
          <w:szCs w:val="24"/>
        </w:rPr>
        <w:t xml:space="preserve"> and </w:t>
      </w:r>
      <w:r w:rsidR="00F6094A" w:rsidRPr="00C544AF">
        <w:rPr>
          <w:rFonts w:ascii="Times New Roman" w:hAnsi="Times New Roman"/>
          <w:bCs/>
          <w:szCs w:val="24"/>
        </w:rPr>
        <w:t>im</w:t>
      </w:r>
      <w:r w:rsidR="00851E46" w:rsidRPr="00C544AF">
        <w:rPr>
          <w:rFonts w:ascii="Times New Roman" w:hAnsi="Times New Roman"/>
          <w:bCs/>
          <w:szCs w:val="24"/>
        </w:rPr>
        <w:t>prudent driving)</w:t>
      </w:r>
      <w:r w:rsidR="00071F44" w:rsidRPr="00C544AF">
        <w:rPr>
          <w:rFonts w:ascii="Times New Roman" w:hAnsi="Times New Roman"/>
          <w:bCs/>
          <w:szCs w:val="24"/>
        </w:rPr>
        <w:t>;</w:t>
      </w:r>
    </w:p>
    <w:p w14:paraId="6FC30B5C" w14:textId="77777777" w:rsidR="00E44C29" w:rsidRPr="00C544AF" w:rsidRDefault="00F26DE7" w:rsidP="00F6094A">
      <w:pPr>
        <w:pStyle w:val="ListParagraph"/>
        <w:widowControl w:val="0"/>
        <w:numPr>
          <w:ilvl w:val="2"/>
          <w:numId w:val="7"/>
        </w:numPr>
        <w:tabs>
          <w:tab w:val="left" w:pos="360"/>
          <w:tab w:val="center" w:pos="4680"/>
        </w:tabs>
        <w:autoSpaceDE w:val="0"/>
        <w:autoSpaceDN w:val="0"/>
        <w:adjustRightInd w:val="0"/>
        <w:snapToGrid w:val="0"/>
        <w:spacing w:after="240"/>
        <w:jc w:val="both"/>
        <w:rPr>
          <w:rFonts w:ascii="Times New Roman" w:hAnsi="Times New Roman"/>
          <w:bCs/>
          <w:szCs w:val="24"/>
        </w:rPr>
      </w:pPr>
      <w:r w:rsidRPr="00C544AF">
        <w:rPr>
          <w:rFonts w:ascii="Times New Roman" w:hAnsi="Times New Roman"/>
          <w:bCs/>
          <w:szCs w:val="24"/>
        </w:rPr>
        <w:t>Section 340.18</w:t>
      </w:r>
      <w:r w:rsidR="00851E46" w:rsidRPr="00C544AF">
        <w:rPr>
          <w:rFonts w:ascii="Times New Roman" w:hAnsi="Times New Roman"/>
          <w:bCs/>
          <w:szCs w:val="24"/>
        </w:rPr>
        <w:t xml:space="preserve">0 (improper lane usage); </w:t>
      </w:r>
    </w:p>
    <w:p w14:paraId="1BB1331C" w14:textId="6CF3F18F" w:rsidR="00071F44" w:rsidRPr="00C544AF" w:rsidRDefault="00E44C29" w:rsidP="00F6094A">
      <w:pPr>
        <w:pStyle w:val="ListParagraph"/>
        <w:widowControl w:val="0"/>
        <w:numPr>
          <w:ilvl w:val="2"/>
          <w:numId w:val="7"/>
        </w:numPr>
        <w:tabs>
          <w:tab w:val="left" w:pos="360"/>
          <w:tab w:val="center" w:pos="4680"/>
        </w:tabs>
        <w:autoSpaceDE w:val="0"/>
        <w:autoSpaceDN w:val="0"/>
        <w:adjustRightInd w:val="0"/>
        <w:snapToGrid w:val="0"/>
        <w:spacing w:after="240"/>
        <w:jc w:val="both"/>
        <w:rPr>
          <w:rFonts w:ascii="Times New Roman" w:hAnsi="Times New Roman"/>
          <w:bCs/>
          <w:szCs w:val="24"/>
        </w:rPr>
      </w:pPr>
      <w:r w:rsidRPr="00C544AF">
        <w:rPr>
          <w:rFonts w:ascii="Times New Roman" w:hAnsi="Times New Roman"/>
          <w:bCs/>
          <w:szCs w:val="24"/>
        </w:rPr>
        <w:t xml:space="preserve">Section 330.020 (one-way streets and alleys); </w:t>
      </w:r>
      <w:r w:rsidR="00851E46" w:rsidRPr="00C544AF">
        <w:rPr>
          <w:rFonts w:ascii="Times New Roman" w:hAnsi="Times New Roman"/>
          <w:bCs/>
          <w:szCs w:val="24"/>
        </w:rPr>
        <w:t>or</w:t>
      </w:r>
    </w:p>
    <w:p w14:paraId="46BCA800" w14:textId="6162D9D7" w:rsidR="00071F44" w:rsidRPr="00C544AF" w:rsidRDefault="00851E46" w:rsidP="00F6094A">
      <w:pPr>
        <w:pStyle w:val="ListParagraph"/>
        <w:widowControl w:val="0"/>
        <w:numPr>
          <w:ilvl w:val="2"/>
          <w:numId w:val="7"/>
        </w:numPr>
        <w:tabs>
          <w:tab w:val="left" w:pos="360"/>
          <w:tab w:val="center" w:pos="4680"/>
        </w:tabs>
        <w:autoSpaceDE w:val="0"/>
        <w:autoSpaceDN w:val="0"/>
        <w:adjustRightInd w:val="0"/>
        <w:snapToGrid w:val="0"/>
        <w:spacing w:after="240"/>
        <w:jc w:val="both"/>
        <w:rPr>
          <w:rFonts w:ascii="Times New Roman" w:hAnsi="Times New Roman"/>
          <w:bCs/>
          <w:szCs w:val="24"/>
        </w:rPr>
      </w:pPr>
      <w:r w:rsidRPr="00C544AF">
        <w:rPr>
          <w:rFonts w:ascii="Times New Roman" w:hAnsi="Times New Roman"/>
          <w:bCs/>
          <w:szCs w:val="24"/>
        </w:rPr>
        <w:t xml:space="preserve">Sections 335.040 — 335.060 (failure to </w:t>
      </w:r>
      <w:r w:rsidR="009E262D">
        <w:rPr>
          <w:rFonts w:ascii="Times New Roman" w:hAnsi="Times New Roman"/>
          <w:bCs/>
          <w:szCs w:val="24"/>
        </w:rPr>
        <w:t xml:space="preserve">stop or </w:t>
      </w:r>
      <w:r w:rsidRPr="00C544AF">
        <w:rPr>
          <w:rFonts w:ascii="Times New Roman" w:hAnsi="Times New Roman"/>
          <w:bCs/>
          <w:szCs w:val="24"/>
        </w:rPr>
        <w:t>yield);</w:t>
      </w:r>
      <w:r w:rsidR="00071F44" w:rsidRPr="00C544AF">
        <w:rPr>
          <w:rFonts w:ascii="Times New Roman" w:hAnsi="Times New Roman"/>
          <w:bCs/>
          <w:szCs w:val="24"/>
        </w:rPr>
        <w:t xml:space="preserve"> </w:t>
      </w:r>
    </w:p>
    <w:p w14:paraId="492E7797" w14:textId="1621790C" w:rsidR="00071F44" w:rsidRPr="00C544AF" w:rsidRDefault="00234154" w:rsidP="00F6094A">
      <w:pPr>
        <w:pStyle w:val="ListParagraph"/>
        <w:widowControl w:val="0"/>
        <w:tabs>
          <w:tab w:val="left" w:pos="360"/>
          <w:tab w:val="center" w:pos="4680"/>
        </w:tabs>
        <w:autoSpaceDE w:val="0"/>
        <w:autoSpaceDN w:val="0"/>
        <w:adjustRightInd w:val="0"/>
        <w:snapToGrid w:val="0"/>
        <w:spacing w:after="240"/>
        <w:ind w:left="1800"/>
        <w:jc w:val="both"/>
        <w:rPr>
          <w:rFonts w:ascii="Times New Roman" w:hAnsi="Times New Roman"/>
          <w:bCs/>
          <w:szCs w:val="24"/>
        </w:rPr>
      </w:pPr>
      <w:r w:rsidRPr="00C544AF">
        <w:rPr>
          <w:rFonts w:ascii="Times New Roman" w:hAnsi="Times New Roman"/>
          <w:bCs/>
          <w:szCs w:val="24"/>
        </w:rPr>
        <w:t xml:space="preserve">in </w:t>
      </w:r>
      <w:r w:rsidR="002761C3">
        <w:rPr>
          <w:rFonts w:ascii="Times New Roman" w:hAnsi="Times New Roman"/>
          <w:bCs/>
          <w:szCs w:val="24"/>
        </w:rPr>
        <w:t xml:space="preserve">such </w:t>
      </w:r>
      <w:r w:rsidRPr="00C544AF">
        <w:rPr>
          <w:rFonts w:ascii="Times New Roman" w:hAnsi="Times New Roman"/>
          <w:bCs/>
          <w:szCs w:val="24"/>
        </w:rPr>
        <w:t xml:space="preserve">a </w:t>
      </w:r>
      <w:r w:rsidR="00702471">
        <w:rPr>
          <w:rFonts w:ascii="Times New Roman" w:hAnsi="Times New Roman"/>
          <w:bCs/>
          <w:szCs w:val="24"/>
        </w:rPr>
        <w:t xml:space="preserve">double fine zone </w:t>
      </w:r>
      <w:r w:rsidR="007B4987" w:rsidRPr="00C544AF">
        <w:rPr>
          <w:rFonts w:ascii="Times New Roman" w:hAnsi="Times New Roman"/>
          <w:bCs/>
          <w:szCs w:val="24"/>
        </w:rPr>
        <w:t xml:space="preserve">shall be fined at a rate not less than </w:t>
      </w:r>
      <w:bookmarkStart w:id="2" w:name="z2pagehit_1"/>
      <w:bookmarkEnd w:id="1"/>
      <w:r w:rsidR="007B4987" w:rsidRPr="00C544AF">
        <w:rPr>
          <w:rFonts w:ascii="Times New Roman" w:hAnsi="Times New Roman"/>
          <w:bCs/>
          <w:szCs w:val="24"/>
        </w:rPr>
        <w:t xml:space="preserve">double the standard fine for such violation as provided in the schedule established by the </w:t>
      </w:r>
      <w:r w:rsidR="002761C3">
        <w:rPr>
          <w:rFonts w:ascii="Times New Roman" w:hAnsi="Times New Roman"/>
          <w:bCs/>
          <w:szCs w:val="24"/>
        </w:rPr>
        <w:t>Municipal Court</w:t>
      </w:r>
      <w:r w:rsidR="00121830" w:rsidRPr="00C544AF">
        <w:rPr>
          <w:rFonts w:ascii="Times New Roman" w:hAnsi="Times New Roman"/>
          <w:bCs/>
          <w:szCs w:val="24"/>
        </w:rPr>
        <w:t>. Nothing herein shall authorize a fine over two hundred twenty-five dollars ($225.00) inclusive of court costs for</w:t>
      </w:r>
      <w:r w:rsidR="00EB7057" w:rsidRPr="00C544AF">
        <w:rPr>
          <w:rFonts w:ascii="Times New Roman" w:hAnsi="Times New Roman"/>
          <w:bCs/>
          <w:szCs w:val="24"/>
        </w:rPr>
        <w:t xml:space="preserve"> </w:t>
      </w:r>
      <w:r w:rsidR="00CA2FE3" w:rsidRPr="00C544AF">
        <w:rPr>
          <w:rFonts w:ascii="Times New Roman" w:hAnsi="Times New Roman"/>
          <w:bCs/>
          <w:szCs w:val="24"/>
        </w:rPr>
        <w:t xml:space="preserve">a </w:t>
      </w:r>
      <w:r w:rsidR="00EB7057" w:rsidRPr="00C544AF">
        <w:rPr>
          <w:rFonts w:ascii="Times New Roman" w:hAnsi="Times New Roman"/>
          <w:bCs/>
          <w:szCs w:val="24"/>
        </w:rPr>
        <w:t>Minor Traffic Violation (as defined in Section 100.</w:t>
      </w:r>
      <w:r w:rsidR="00702471">
        <w:rPr>
          <w:rFonts w:ascii="Times New Roman" w:hAnsi="Times New Roman"/>
          <w:bCs/>
          <w:szCs w:val="24"/>
        </w:rPr>
        <w:t>220</w:t>
      </w:r>
      <w:r w:rsidR="00EB7057" w:rsidRPr="00C544AF">
        <w:rPr>
          <w:rFonts w:ascii="Times New Roman" w:hAnsi="Times New Roman"/>
          <w:bCs/>
          <w:szCs w:val="24"/>
        </w:rPr>
        <w:t xml:space="preserve"> of this Code)</w:t>
      </w:r>
      <w:r w:rsidR="00121830" w:rsidRPr="00C544AF">
        <w:rPr>
          <w:rFonts w:ascii="Times New Roman" w:hAnsi="Times New Roman"/>
          <w:bCs/>
          <w:szCs w:val="24"/>
        </w:rPr>
        <w:t>.</w:t>
      </w:r>
      <w:r w:rsidR="00CA2FE3" w:rsidRPr="00C544AF">
        <w:rPr>
          <w:rFonts w:ascii="Times New Roman" w:hAnsi="Times New Roman"/>
          <w:bCs/>
          <w:szCs w:val="24"/>
        </w:rPr>
        <w:t xml:space="preserve"> </w:t>
      </w:r>
      <w:bookmarkEnd w:id="2"/>
    </w:p>
    <w:p w14:paraId="66C2DECC" w14:textId="0B001676" w:rsidR="00F6094A" w:rsidRPr="00702471" w:rsidRDefault="009A1371" w:rsidP="00702471">
      <w:pPr>
        <w:pStyle w:val="ListParagraph"/>
        <w:widowControl w:val="0"/>
        <w:numPr>
          <w:ilvl w:val="0"/>
          <w:numId w:val="7"/>
        </w:numPr>
        <w:tabs>
          <w:tab w:val="left" w:pos="360"/>
          <w:tab w:val="center" w:pos="4680"/>
        </w:tabs>
        <w:autoSpaceDE w:val="0"/>
        <w:autoSpaceDN w:val="0"/>
        <w:adjustRightInd w:val="0"/>
        <w:snapToGrid w:val="0"/>
        <w:spacing w:after="240"/>
        <w:jc w:val="both"/>
        <w:rPr>
          <w:rFonts w:ascii="Times New Roman" w:hAnsi="Times New Roman"/>
          <w:bCs/>
          <w:szCs w:val="24"/>
        </w:rPr>
      </w:pPr>
      <w:r w:rsidRPr="00C544AF">
        <w:rPr>
          <w:rFonts w:ascii="Times New Roman" w:hAnsi="Times New Roman"/>
          <w:bCs/>
          <w:i/>
          <w:szCs w:val="24"/>
        </w:rPr>
        <w:t>Notice</w:t>
      </w:r>
      <w:r w:rsidRPr="00C544AF">
        <w:rPr>
          <w:rFonts w:ascii="Times New Roman" w:hAnsi="Times New Roman"/>
          <w:bCs/>
          <w:szCs w:val="24"/>
        </w:rPr>
        <w:t xml:space="preserve">. </w:t>
      </w:r>
      <w:r w:rsidR="00C501B8" w:rsidRPr="00C544AF">
        <w:rPr>
          <w:rFonts w:ascii="Times New Roman" w:hAnsi="Times New Roman"/>
          <w:bCs/>
          <w:szCs w:val="24"/>
        </w:rPr>
        <w:t xml:space="preserve">Prior to the enforcement of any ordinance instituting a double fine zone, appropriate signage </w:t>
      </w:r>
      <w:r w:rsidR="00F6094A" w:rsidRPr="00C544AF">
        <w:rPr>
          <w:rFonts w:ascii="Times New Roman" w:hAnsi="Times New Roman"/>
          <w:bCs/>
          <w:szCs w:val="24"/>
        </w:rPr>
        <w:t xml:space="preserve">shall </w:t>
      </w:r>
      <w:r w:rsidR="00C501B8" w:rsidRPr="00C544AF">
        <w:rPr>
          <w:rFonts w:ascii="Times New Roman" w:hAnsi="Times New Roman"/>
          <w:bCs/>
          <w:szCs w:val="24"/>
        </w:rPr>
        <w:t xml:space="preserve">be installed notifying </w:t>
      </w:r>
      <w:r w:rsidR="00702471" w:rsidRPr="00702471">
        <w:rPr>
          <w:rFonts w:ascii="Times New Roman" w:hAnsi="Times New Roman"/>
          <w:bCs/>
          <w:szCs w:val="24"/>
        </w:rPr>
        <w:t xml:space="preserve">the traveling public of the existence of the </w:t>
      </w:r>
      <w:r w:rsidR="00702471">
        <w:rPr>
          <w:rFonts w:ascii="Times New Roman" w:hAnsi="Times New Roman"/>
          <w:bCs/>
          <w:szCs w:val="24"/>
        </w:rPr>
        <w:t>Special Enforcement Area</w:t>
      </w:r>
      <w:r w:rsidR="00702471" w:rsidRPr="00C544AF">
        <w:rPr>
          <w:rFonts w:ascii="Times New Roman" w:hAnsi="Times New Roman"/>
          <w:bCs/>
          <w:szCs w:val="24"/>
        </w:rPr>
        <w:t xml:space="preserve"> </w:t>
      </w:r>
      <w:r w:rsidR="00702471" w:rsidRPr="00702471">
        <w:rPr>
          <w:rFonts w:ascii="Times New Roman" w:hAnsi="Times New Roman"/>
          <w:bCs/>
          <w:szCs w:val="24"/>
        </w:rPr>
        <w:t>and that violators will be subject to double the standard fine</w:t>
      </w:r>
      <w:r w:rsidR="00702471">
        <w:rPr>
          <w:rFonts w:ascii="Times New Roman" w:hAnsi="Times New Roman"/>
          <w:bCs/>
          <w:szCs w:val="24"/>
        </w:rPr>
        <w:t>. Notice shall</w:t>
      </w:r>
      <w:r w:rsidRPr="00702471">
        <w:rPr>
          <w:rFonts w:ascii="Times New Roman" w:hAnsi="Times New Roman"/>
          <w:bCs/>
          <w:szCs w:val="24"/>
        </w:rPr>
        <w:t xml:space="preserve"> also</w:t>
      </w:r>
      <w:r w:rsidR="00C501B8" w:rsidRPr="00702471">
        <w:rPr>
          <w:rFonts w:ascii="Times New Roman" w:hAnsi="Times New Roman"/>
          <w:bCs/>
          <w:szCs w:val="24"/>
        </w:rPr>
        <w:t xml:space="preserve"> be made through the City’s website </w:t>
      </w:r>
      <w:r w:rsidRPr="00702471">
        <w:rPr>
          <w:rFonts w:ascii="Times New Roman" w:hAnsi="Times New Roman"/>
          <w:bCs/>
          <w:szCs w:val="24"/>
        </w:rPr>
        <w:t>for a period of up to thirty (30) days after the Board’s designation of a</w:t>
      </w:r>
      <w:r w:rsidR="00702471">
        <w:rPr>
          <w:rFonts w:ascii="Times New Roman" w:hAnsi="Times New Roman"/>
          <w:bCs/>
          <w:szCs w:val="24"/>
        </w:rPr>
        <w:t xml:space="preserve"> Special Enforcement Area with a double fine zone</w:t>
      </w:r>
      <w:r w:rsidR="00C501B8" w:rsidRPr="00702471">
        <w:rPr>
          <w:rFonts w:ascii="Times New Roman" w:hAnsi="Times New Roman"/>
          <w:bCs/>
          <w:szCs w:val="24"/>
        </w:rPr>
        <w:t>.</w:t>
      </w:r>
    </w:p>
    <w:p w14:paraId="668778EA" w14:textId="22234955" w:rsidR="00174C24" w:rsidRPr="00C544AF" w:rsidRDefault="00F52454" w:rsidP="00C4552E">
      <w:pPr>
        <w:snapToGrid w:val="0"/>
        <w:spacing w:after="240"/>
        <w:ind w:left="720"/>
        <w:jc w:val="both"/>
        <w:rPr>
          <w:rFonts w:ascii="Times New Roman" w:hAnsi="Times New Roman"/>
          <w:szCs w:val="24"/>
        </w:rPr>
      </w:pPr>
      <w:r w:rsidRPr="00C544AF">
        <w:rPr>
          <w:rFonts w:ascii="Times New Roman" w:hAnsi="Times New Roman"/>
          <w:b/>
          <w:szCs w:val="24"/>
          <w:u w:val="single"/>
        </w:rPr>
        <w:t xml:space="preserve">Section </w:t>
      </w:r>
      <w:r w:rsidR="00E44C29" w:rsidRPr="00C544AF">
        <w:rPr>
          <w:rFonts w:ascii="Times New Roman" w:hAnsi="Times New Roman"/>
          <w:b/>
          <w:szCs w:val="24"/>
          <w:u w:val="single"/>
        </w:rPr>
        <w:t>3</w:t>
      </w:r>
      <w:r w:rsidRPr="00C544AF">
        <w:rPr>
          <w:rFonts w:ascii="Times New Roman" w:hAnsi="Times New Roman"/>
          <w:b/>
          <w:szCs w:val="24"/>
        </w:rPr>
        <w:t>:</w:t>
      </w:r>
      <w:r w:rsidRPr="00C544AF">
        <w:rPr>
          <w:rFonts w:ascii="Times New Roman" w:hAnsi="Times New Roman"/>
          <w:szCs w:val="24"/>
        </w:rPr>
        <w:t xml:space="preserve">  </w:t>
      </w:r>
      <w:r w:rsidR="00174C24" w:rsidRPr="00C544AF">
        <w:rPr>
          <w:rFonts w:ascii="Times New Roman" w:hAnsi="Times New Roman"/>
          <w:szCs w:val="24"/>
        </w:rPr>
        <w:t xml:space="preserve">The Board further directs that </w:t>
      </w:r>
      <w:r w:rsidR="00174C24" w:rsidRPr="00C544AF">
        <w:rPr>
          <w:rFonts w:ascii="Times New Roman" w:hAnsi="Times New Roman"/>
          <w:i/>
          <w:szCs w:val="24"/>
        </w:rPr>
        <w:t xml:space="preserve">Schedule </w:t>
      </w:r>
      <w:r w:rsidR="00C544AF" w:rsidRPr="00C544AF">
        <w:rPr>
          <w:rFonts w:ascii="Times New Roman" w:hAnsi="Times New Roman"/>
          <w:i/>
          <w:szCs w:val="24"/>
        </w:rPr>
        <w:t>VII</w:t>
      </w:r>
      <w:r w:rsidR="00174C24" w:rsidRPr="00C544AF">
        <w:rPr>
          <w:rFonts w:ascii="Times New Roman" w:hAnsi="Times New Roman"/>
          <w:i/>
          <w:szCs w:val="24"/>
        </w:rPr>
        <w:t>I</w:t>
      </w:r>
      <w:r w:rsidR="00174C24" w:rsidRPr="00C544AF">
        <w:rPr>
          <w:rFonts w:ascii="Times New Roman" w:hAnsi="Times New Roman"/>
          <w:szCs w:val="24"/>
        </w:rPr>
        <w:t xml:space="preserve"> </w:t>
      </w:r>
      <w:r w:rsidRPr="00C544AF">
        <w:rPr>
          <w:rFonts w:ascii="Times New Roman" w:hAnsi="Times New Roman"/>
          <w:szCs w:val="24"/>
        </w:rPr>
        <w:t xml:space="preserve">– </w:t>
      </w:r>
      <w:r w:rsidR="00C544AF" w:rsidRPr="00C544AF">
        <w:rPr>
          <w:rFonts w:ascii="Times New Roman" w:hAnsi="Times New Roman"/>
          <w:i/>
          <w:szCs w:val="24"/>
        </w:rPr>
        <w:t>Double Fine Zones</w:t>
      </w:r>
      <w:r w:rsidR="00C544AF" w:rsidRPr="00C544AF">
        <w:rPr>
          <w:rFonts w:ascii="Times New Roman" w:hAnsi="Times New Roman"/>
          <w:szCs w:val="24"/>
        </w:rPr>
        <w:t xml:space="preserve"> be adopted </w:t>
      </w:r>
      <w:r w:rsidR="00116996">
        <w:rPr>
          <w:rFonts w:ascii="Times New Roman" w:hAnsi="Times New Roman"/>
          <w:szCs w:val="24"/>
        </w:rPr>
        <w:t xml:space="preserve">and </w:t>
      </w:r>
      <w:r w:rsidR="00116996" w:rsidRPr="00C544AF">
        <w:rPr>
          <w:rFonts w:ascii="Times New Roman" w:hAnsi="Times New Roman"/>
          <w:bCs/>
          <w:szCs w:val="24"/>
        </w:rPr>
        <w:t>appended to and printed in the City’s Traffic Code</w:t>
      </w:r>
      <w:r w:rsidR="00116996">
        <w:rPr>
          <w:rFonts w:ascii="Times New Roman" w:hAnsi="Times New Roman"/>
          <w:bCs/>
          <w:szCs w:val="24"/>
        </w:rPr>
        <w:t xml:space="preserve">, </w:t>
      </w:r>
      <w:r w:rsidR="00C544AF" w:rsidRPr="00C544AF">
        <w:rPr>
          <w:rFonts w:ascii="Times New Roman" w:hAnsi="Times New Roman"/>
          <w:szCs w:val="24"/>
        </w:rPr>
        <w:t>as follows:</w:t>
      </w:r>
    </w:p>
    <w:p w14:paraId="045BEC1B" w14:textId="26DA66E7" w:rsidR="00C544AF" w:rsidRPr="00C544AF" w:rsidRDefault="00C544AF" w:rsidP="00C544AF">
      <w:pPr>
        <w:snapToGrid w:val="0"/>
        <w:spacing w:after="240"/>
        <w:ind w:right="720" w:firstLine="720"/>
        <w:jc w:val="center"/>
        <w:rPr>
          <w:rFonts w:ascii="Times New Roman" w:hAnsi="Times New Roman"/>
          <w:b/>
          <w:bCs/>
          <w:iCs/>
          <w:szCs w:val="24"/>
        </w:rPr>
      </w:pPr>
      <w:bookmarkStart w:id="3" w:name="_GoBack"/>
      <w:bookmarkEnd w:id="3"/>
      <w:r w:rsidRPr="00C544AF">
        <w:rPr>
          <w:rFonts w:ascii="Times New Roman" w:hAnsi="Times New Roman"/>
          <w:i/>
          <w:szCs w:val="24"/>
        </w:rPr>
        <w:lastRenderedPageBreak/>
        <w:t>Schedule VIII</w:t>
      </w:r>
      <w:r w:rsidRPr="00C544AF">
        <w:rPr>
          <w:rFonts w:ascii="Times New Roman" w:hAnsi="Times New Roman"/>
          <w:szCs w:val="24"/>
        </w:rPr>
        <w:t xml:space="preserve"> – </w:t>
      </w:r>
      <w:r w:rsidRPr="00C544AF">
        <w:rPr>
          <w:rFonts w:ascii="Times New Roman" w:hAnsi="Times New Roman"/>
          <w:bCs/>
          <w:i/>
          <w:iCs/>
          <w:szCs w:val="24"/>
        </w:rPr>
        <w:t>Special Enforcement Area</w:t>
      </w:r>
      <w:r w:rsidRPr="00C544AF">
        <w:rPr>
          <w:rFonts w:ascii="Times New Roman" w:hAnsi="Times New Roman"/>
          <w:bCs/>
          <w:i/>
          <w:szCs w:val="24"/>
        </w:rPr>
        <w:t xml:space="preserve"> - </w:t>
      </w:r>
      <w:r w:rsidRPr="00C544AF">
        <w:rPr>
          <w:rFonts w:ascii="Times New Roman" w:hAnsi="Times New Roman"/>
          <w:i/>
          <w:szCs w:val="24"/>
        </w:rPr>
        <w:t>Double Fine Zones</w:t>
      </w:r>
    </w:p>
    <w:p w14:paraId="6E78FBCE" w14:textId="1ECB9D3D" w:rsidR="00C544AF" w:rsidRPr="00C544AF" w:rsidRDefault="00C544AF" w:rsidP="00C544AF">
      <w:pPr>
        <w:snapToGrid w:val="0"/>
        <w:spacing w:after="240"/>
        <w:ind w:right="720" w:firstLine="1080"/>
        <w:jc w:val="both"/>
        <w:rPr>
          <w:rFonts w:ascii="Times New Roman" w:hAnsi="Times New Roman"/>
          <w:b/>
          <w:bCs/>
          <w:iCs/>
          <w:szCs w:val="24"/>
        </w:rPr>
      </w:pPr>
      <w:r w:rsidRPr="00C544AF">
        <w:rPr>
          <w:rFonts w:ascii="Times New Roman" w:hAnsi="Times New Roman"/>
          <w:b/>
          <w:bCs/>
          <w:iCs/>
          <w:szCs w:val="24"/>
        </w:rPr>
        <w:t>Table I – Double Fine Zones</w:t>
      </w:r>
    </w:p>
    <w:p w14:paraId="46DEE35F" w14:textId="0FBF7D01" w:rsidR="00C544AF" w:rsidRPr="00C544AF" w:rsidRDefault="00C544AF" w:rsidP="00C544AF">
      <w:pPr>
        <w:snapToGrid w:val="0"/>
        <w:spacing w:after="240"/>
        <w:ind w:left="1440" w:right="720"/>
        <w:jc w:val="both"/>
        <w:rPr>
          <w:rFonts w:ascii="Times New Roman" w:hAnsi="Times New Roman"/>
          <w:b/>
          <w:szCs w:val="24"/>
        </w:rPr>
      </w:pPr>
      <w:r w:rsidRPr="00C544AF">
        <w:rPr>
          <w:rFonts w:ascii="Times New Roman" w:hAnsi="Times New Roman"/>
          <w:b/>
          <w:szCs w:val="24"/>
        </w:rPr>
        <w:t>Location</w:t>
      </w:r>
    </w:p>
    <w:p w14:paraId="40BBC05E" w14:textId="44F2DD02" w:rsidR="00C544AF" w:rsidRPr="00C544AF" w:rsidRDefault="00C544AF" w:rsidP="00C544AF">
      <w:pPr>
        <w:snapToGrid w:val="0"/>
        <w:spacing w:after="240"/>
        <w:ind w:left="1440" w:right="720"/>
        <w:jc w:val="both"/>
        <w:rPr>
          <w:rFonts w:ascii="Times New Roman" w:hAnsi="Times New Roman"/>
          <w:b/>
          <w:szCs w:val="24"/>
        </w:rPr>
      </w:pPr>
      <w:r w:rsidRPr="00C544AF">
        <w:rPr>
          <w:rFonts w:ascii="Times New Roman" w:hAnsi="Times New Roman"/>
          <w:b/>
          <w:szCs w:val="24"/>
        </w:rPr>
        <w:t>Crescent Road, from the western City limits two hundred (200) feet to the western edge of the driveway at 157 Crescent Road</w:t>
      </w:r>
    </w:p>
    <w:p w14:paraId="209F8C97" w14:textId="3218DFBE" w:rsidR="00174C24" w:rsidRPr="00C544AF" w:rsidRDefault="00F52454" w:rsidP="00C4552E">
      <w:pPr>
        <w:snapToGrid w:val="0"/>
        <w:spacing w:after="240"/>
        <w:ind w:left="720"/>
        <w:jc w:val="both"/>
        <w:rPr>
          <w:rFonts w:ascii="Times New Roman" w:hAnsi="Times New Roman"/>
          <w:szCs w:val="24"/>
        </w:rPr>
      </w:pPr>
      <w:r w:rsidRPr="00C544AF">
        <w:rPr>
          <w:rFonts w:ascii="Times New Roman" w:hAnsi="Times New Roman"/>
          <w:b/>
          <w:szCs w:val="24"/>
          <w:u w:val="single"/>
        </w:rPr>
        <w:t xml:space="preserve">Section </w:t>
      </w:r>
      <w:r w:rsidR="00E44C29" w:rsidRPr="00C544AF">
        <w:rPr>
          <w:rFonts w:ascii="Times New Roman" w:hAnsi="Times New Roman"/>
          <w:b/>
          <w:szCs w:val="24"/>
          <w:u w:val="single"/>
        </w:rPr>
        <w:t>4</w:t>
      </w:r>
      <w:r w:rsidRPr="00C544AF">
        <w:rPr>
          <w:rFonts w:ascii="Times New Roman" w:hAnsi="Times New Roman"/>
          <w:b/>
          <w:szCs w:val="24"/>
        </w:rPr>
        <w:t>:</w:t>
      </w:r>
      <w:r w:rsidRPr="00C544AF">
        <w:rPr>
          <w:rFonts w:ascii="Times New Roman" w:hAnsi="Times New Roman"/>
          <w:szCs w:val="24"/>
        </w:rPr>
        <w:t xml:space="preserve">  </w:t>
      </w:r>
      <w:r w:rsidR="00174C24" w:rsidRPr="00C544AF">
        <w:rPr>
          <w:rFonts w:ascii="Times New Roman" w:hAnsi="Times New Roman"/>
          <w:szCs w:val="24"/>
        </w:rPr>
        <w:t>Finally, the Board hereby further directs that at least thirty (30) days prior to the enforcement of th</w:t>
      </w:r>
      <w:r w:rsidR="00C544AF" w:rsidRPr="00C544AF">
        <w:rPr>
          <w:rFonts w:ascii="Times New Roman" w:hAnsi="Times New Roman"/>
          <w:szCs w:val="24"/>
        </w:rPr>
        <w:t>e</w:t>
      </w:r>
      <w:r w:rsidR="00174C24" w:rsidRPr="00C544AF">
        <w:rPr>
          <w:rFonts w:ascii="Times New Roman" w:hAnsi="Times New Roman"/>
          <w:szCs w:val="24"/>
        </w:rPr>
        <w:t xml:space="preserve"> </w:t>
      </w:r>
      <w:r w:rsidR="00C544AF" w:rsidRPr="00C544AF">
        <w:rPr>
          <w:rFonts w:ascii="Times New Roman" w:hAnsi="Times New Roman"/>
          <w:szCs w:val="24"/>
        </w:rPr>
        <w:t>Double Fine Zones</w:t>
      </w:r>
      <w:r w:rsidR="00174C24" w:rsidRPr="00C544AF">
        <w:rPr>
          <w:rFonts w:ascii="Times New Roman" w:hAnsi="Times New Roman"/>
          <w:szCs w:val="24"/>
        </w:rPr>
        <w:t xml:space="preserve"> that:</w:t>
      </w:r>
    </w:p>
    <w:p w14:paraId="13D69E39" w14:textId="24B2E969" w:rsidR="00174C24" w:rsidRPr="00C544AF" w:rsidRDefault="00914ED8" w:rsidP="00174C24">
      <w:pPr>
        <w:snapToGrid w:val="0"/>
        <w:spacing w:after="240"/>
        <w:ind w:left="1080" w:hanging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</w:t>
      </w:r>
      <w:r w:rsidR="00174C24" w:rsidRPr="00C544AF">
        <w:rPr>
          <w:rFonts w:ascii="Times New Roman" w:hAnsi="Times New Roman"/>
          <w:szCs w:val="24"/>
        </w:rPr>
        <w:t xml:space="preserve"> </w:t>
      </w:r>
      <w:r w:rsidR="00174C24" w:rsidRPr="00C544AF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A</w:t>
      </w:r>
      <w:r w:rsidR="00174C24" w:rsidRPr="00C544AF">
        <w:rPr>
          <w:rFonts w:ascii="Times New Roman" w:hAnsi="Times New Roman"/>
          <w:szCs w:val="24"/>
        </w:rPr>
        <w:t xml:space="preserve">ppropriate signage be installed notifying the public that </w:t>
      </w:r>
      <w:r w:rsidR="00C544AF" w:rsidRPr="00C544AF">
        <w:rPr>
          <w:rFonts w:ascii="Times New Roman" w:hAnsi="Times New Roman"/>
          <w:szCs w:val="24"/>
        </w:rPr>
        <w:t xml:space="preserve">traffic </w:t>
      </w:r>
      <w:r w:rsidR="006457E5">
        <w:rPr>
          <w:rFonts w:ascii="Times New Roman" w:hAnsi="Times New Roman"/>
          <w:szCs w:val="24"/>
        </w:rPr>
        <w:t xml:space="preserve">certain </w:t>
      </w:r>
      <w:r w:rsidR="00C544AF" w:rsidRPr="00C544AF">
        <w:rPr>
          <w:rFonts w:ascii="Times New Roman" w:hAnsi="Times New Roman"/>
          <w:szCs w:val="24"/>
        </w:rPr>
        <w:t>violations</w:t>
      </w:r>
      <w:r w:rsidR="00174C24" w:rsidRPr="00C544AF">
        <w:rPr>
          <w:rFonts w:ascii="Times New Roman" w:hAnsi="Times New Roman"/>
          <w:szCs w:val="24"/>
        </w:rPr>
        <w:t xml:space="preserve"> in the area </w:t>
      </w:r>
      <w:r w:rsidR="00C544AF" w:rsidRPr="00C544AF">
        <w:rPr>
          <w:rFonts w:ascii="Times New Roman" w:hAnsi="Times New Roman"/>
          <w:szCs w:val="24"/>
        </w:rPr>
        <w:t>are</w:t>
      </w:r>
      <w:r w:rsidR="00174C24" w:rsidRPr="00C544AF">
        <w:rPr>
          <w:rFonts w:ascii="Times New Roman" w:hAnsi="Times New Roman"/>
          <w:szCs w:val="24"/>
        </w:rPr>
        <w:t xml:space="preserve"> subject to double fines; and, </w:t>
      </w:r>
    </w:p>
    <w:p w14:paraId="1E2486E6" w14:textId="4556C66A" w:rsidR="00174C24" w:rsidRPr="00C544AF" w:rsidRDefault="00914ED8" w:rsidP="00174C24">
      <w:pPr>
        <w:snapToGrid w:val="0"/>
        <w:spacing w:after="240"/>
        <w:ind w:left="1080" w:hanging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2.</w:t>
      </w:r>
      <w:r w:rsidR="00174C24" w:rsidRPr="00C544AF">
        <w:rPr>
          <w:rFonts w:ascii="Times New Roman" w:hAnsi="Times New Roman"/>
          <w:szCs w:val="24"/>
        </w:rPr>
        <w:t xml:space="preserve"> </w:t>
      </w:r>
      <w:r w:rsidR="00174C24" w:rsidRPr="00C544AF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N</w:t>
      </w:r>
      <w:r w:rsidR="00174C24" w:rsidRPr="00C544AF">
        <w:rPr>
          <w:rFonts w:ascii="Times New Roman" w:hAnsi="Times New Roman"/>
          <w:szCs w:val="24"/>
        </w:rPr>
        <w:t>otification be made through the City’s website of th</w:t>
      </w:r>
      <w:r w:rsidR="006457E5">
        <w:rPr>
          <w:rFonts w:ascii="Times New Roman" w:hAnsi="Times New Roman"/>
          <w:szCs w:val="24"/>
        </w:rPr>
        <w:t>is new</w:t>
      </w:r>
      <w:r w:rsidR="00174C24" w:rsidRPr="00C544AF">
        <w:rPr>
          <w:rFonts w:ascii="Times New Roman" w:hAnsi="Times New Roman"/>
          <w:szCs w:val="24"/>
        </w:rPr>
        <w:t xml:space="preserve"> </w:t>
      </w:r>
      <w:r w:rsidR="006457E5">
        <w:rPr>
          <w:rFonts w:ascii="Times New Roman" w:hAnsi="Times New Roman"/>
          <w:bCs/>
          <w:szCs w:val="24"/>
        </w:rPr>
        <w:t>Special Enforcement Area</w:t>
      </w:r>
      <w:r w:rsidR="006457E5" w:rsidRPr="00C544AF">
        <w:rPr>
          <w:rFonts w:ascii="Times New Roman" w:hAnsi="Times New Roman"/>
          <w:szCs w:val="24"/>
        </w:rPr>
        <w:t xml:space="preserve"> </w:t>
      </w:r>
      <w:r w:rsidR="00174C24" w:rsidRPr="00C544AF">
        <w:rPr>
          <w:rFonts w:ascii="Times New Roman" w:hAnsi="Times New Roman"/>
          <w:szCs w:val="24"/>
        </w:rPr>
        <w:t xml:space="preserve">and </w:t>
      </w:r>
      <w:r w:rsidR="00F52454" w:rsidRPr="00C544AF">
        <w:rPr>
          <w:rFonts w:ascii="Times New Roman" w:hAnsi="Times New Roman"/>
          <w:szCs w:val="24"/>
        </w:rPr>
        <w:t>penalty of</w:t>
      </w:r>
      <w:r w:rsidR="00174C24" w:rsidRPr="00C544AF">
        <w:rPr>
          <w:rFonts w:ascii="Times New Roman" w:hAnsi="Times New Roman"/>
          <w:szCs w:val="24"/>
        </w:rPr>
        <w:t xml:space="preserve"> double fines for </w:t>
      </w:r>
      <w:r>
        <w:rPr>
          <w:rFonts w:ascii="Times New Roman" w:hAnsi="Times New Roman"/>
          <w:szCs w:val="24"/>
        </w:rPr>
        <w:t>traffic violations</w:t>
      </w:r>
      <w:r w:rsidR="00174C24" w:rsidRPr="00C544AF">
        <w:rPr>
          <w:rFonts w:ascii="Times New Roman" w:hAnsi="Times New Roman"/>
          <w:szCs w:val="24"/>
        </w:rPr>
        <w:t xml:space="preserve"> therein.   </w:t>
      </w:r>
    </w:p>
    <w:bookmarkEnd w:id="0"/>
    <w:p w14:paraId="436C38D2" w14:textId="0DE3E78E" w:rsidR="003C4088" w:rsidRPr="00C544AF" w:rsidRDefault="003C4088" w:rsidP="00C4552E">
      <w:pPr>
        <w:tabs>
          <w:tab w:val="left" w:pos="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240"/>
        <w:ind w:left="720"/>
        <w:jc w:val="both"/>
        <w:rPr>
          <w:rFonts w:ascii="Times New Roman" w:hAnsi="Times New Roman"/>
          <w:szCs w:val="24"/>
        </w:rPr>
      </w:pPr>
      <w:r w:rsidRPr="00C544AF">
        <w:rPr>
          <w:rFonts w:ascii="Times New Roman" w:hAnsi="Times New Roman"/>
          <w:b/>
          <w:szCs w:val="24"/>
          <w:u w:val="single"/>
        </w:rPr>
        <w:t xml:space="preserve">Section </w:t>
      </w:r>
      <w:r w:rsidR="00C544AF" w:rsidRPr="00C544AF">
        <w:rPr>
          <w:rFonts w:ascii="Times New Roman" w:hAnsi="Times New Roman"/>
          <w:b/>
          <w:szCs w:val="24"/>
          <w:u w:val="single"/>
        </w:rPr>
        <w:t>4</w:t>
      </w:r>
      <w:r w:rsidRPr="00C544AF">
        <w:rPr>
          <w:rFonts w:ascii="Times New Roman" w:hAnsi="Times New Roman"/>
          <w:b/>
          <w:szCs w:val="24"/>
          <w:u w:val="single"/>
        </w:rPr>
        <w:t>:</w:t>
      </w:r>
      <w:r w:rsidRPr="00C544AF">
        <w:rPr>
          <w:rFonts w:ascii="Times New Roman" w:hAnsi="Times New Roman"/>
          <w:szCs w:val="24"/>
        </w:rPr>
        <w:tab/>
        <w:t>This ordinance shall be in full force and effect on and after its passage and approval by the Mayor.</w:t>
      </w:r>
    </w:p>
    <w:p w14:paraId="29CC96A6" w14:textId="4D8B4CE2" w:rsidR="003C4088" w:rsidRPr="00C544AF" w:rsidRDefault="003C4088" w:rsidP="003C4088">
      <w:pPr>
        <w:tabs>
          <w:tab w:val="left" w:pos="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240"/>
        <w:jc w:val="both"/>
        <w:rPr>
          <w:rFonts w:ascii="Times New Roman" w:hAnsi="Times New Roman"/>
          <w:szCs w:val="24"/>
        </w:rPr>
      </w:pPr>
      <w:r w:rsidRPr="00C544AF">
        <w:rPr>
          <w:rFonts w:ascii="Times New Roman" w:hAnsi="Times New Roman"/>
          <w:szCs w:val="24"/>
        </w:rPr>
        <w:t xml:space="preserve">PASSED AFTER HAVING BEEN READ IN FULL OR BY TITLE TWO TIMES PRIOR TO PASSAGE BY THE BOARD OF ALDERMEN OF THE CITY OF TWIN OAKS, MISSOURI, </w:t>
      </w:r>
      <w:proofErr w:type="gramStart"/>
      <w:r w:rsidRPr="00C544AF">
        <w:rPr>
          <w:rFonts w:ascii="Times New Roman" w:hAnsi="Times New Roman"/>
          <w:szCs w:val="24"/>
        </w:rPr>
        <w:t>THIS</w:t>
      </w:r>
      <w:proofErr w:type="gramEnd"/>
      <w:r w:rsidR="00E44C29" w:rsidRPr="00C544AF">
        <w:rPr>
          <w:rFonts w:ascii="Times New Roman" w:hAnsi="Times New Roman"/>
          <w:szCs w:val="24"/>
        </w:rPr>
        <w:t xml:space="preserve"> </w:t>
      </w:r>
      <w:r w:rsidR="00C4552E">
        <w:rPr>
          <w:rFonts w:ascii="Times New Roman" w:hAnsi="Times New Roman"/>
          <w:szCs w:val="24"/>
        </w:rPr>
        <w:t>7th</w:t>
      </w:r>
      <w:r w:rsidRPr="00C544AF">
        <w:rPr>
          <w:rFonts w:ascii="Times New Roman" w:hAnsi="Times New Roman"/>
          <w:szCs w:val="24"/>
        </w:rPr>
        <w:t xml:space="preserve"> DAY OF </w:t>
      </w:r>
      <w:r w:rsidR="00C4552E">
        <w:rPr>
          <w:rFonts w:ascii="Times New Roman" w:hAnsi="Times New Roman"/>
          <w:szCs w:val="24"/>
        </w:rPr>
        <w:t>JULY</w:t>
      </w:r>
      <w:r w:rsidRPr="00C544AF">
        <w:rPr>
          <w:rFonts w:ascii="Times New Roman" w:hAnsi="Times New Roman"/>
          <w:szCs w:val="24"/>
        </w:rPr>
        <w:t xml:space="preserve"> 2021.</w:t>
      </w:r>
    </w:p>
    <w:tbl>
      <w:tblPr>
        <w:tblW w:w="5377" w:type="dxa"/>
        <w:tblInd w:w="3780" w:type="dxa"/>
        <w:tblLook w:val="0000" w:firstRow="0" w:lastRow="0" w:firstColumn="0" w:lastColumn="0" w:noHBand="0" w:noVBand="0"/>
      </w:tblPr>
      <w:tblGrid>
        <w:gridCol w:w="5377"/>
      </w:tblGrid>
      <w:tr w:rsidR="003C4088" w:rsidRPr="00C544AF" w14:paraId="4A23BEB3" w14:textId="77777777" w:rsidTr="00B04275">
        <w:trPr>
          <w:cantSplit/>
        </w:trPr>
        <w:tc>
          <w:tcPr>
            <w:tcW w:w="5377" w:type="dxa"/>
            <w:tcBorders>
              <w:bottom w:val="single" w:sz="4" w:space="0" w:color="auto"/>
            </w:tcBorders>
            <w:vAlign w:val="bottom"/>
          </w:tcPr>
          <w:p w14:paraId="28BC2749" w14:textId="77777777" w:rsidR="003C4088" w:rsidRPr="00C544AF" w:rsidRDefault="003C4088" w:rsidP="00B04275">
            <w:pPr>
              <w:keepNext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i/>
                <w:iCs/>
                <w:szCs w:val="24"/>
              </w:rPr>
            </w:pPr>
          </w:p>
          <w:p w14:paraId="553BF236" w14:textId="77777777" w:rsidR="003C4088" w:rsidRPr="00C544AF" w:rsidRDefault="003C4088" w:rsidP="00B04275">
            <w:pPr>
              <w:keepNext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i/>
                <w:iCs/>
                <w:szCs w:val="24"/>
              </w:rPr>
            </w:pPr>
          </w:p>
          <w:p w14:paraId="77C7E186" w14:textId="77777777" w:rsidR="003C4088" w:rsidRPr="00C544AF" w:rsidRDefault="003C4088" w:rsidP="00B04275">
            <w:pPr>
              <w:keepNext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i/>
                <w:iCs/>
                <w:szCs w:val="24"/>
              </w:rPr>
            </w:pPr>
          </w:p>
        </w:tc>
      </w:tr>
      <w:tr w:rsidR="003C4088" w:rsidRPr="00C544AF" w14:paraId="391F2D2E" w14:textId="77777777" w:rsidTr="00B04275">
        <w:trPr>
          <w:cantSplit/>
        </w:trPr>
        <w:tc>
          <w:tcPr>
            <w:tcW w:w="5377" w:type="dxa"/>
            <w:tcBorders>
              <w:top w:val="single" w:sz="4" w:space="0" w:color="auto"/>
            </w:tcBorders>
          </w:tcPr>
          <w:p w14:paraId="5857BDF4" w14:textId="77777777" w:rsidR="003C4088" w:rsidRPr="00C544AF" w:rsidRDefault="003C4088" w:rsidP="00B04275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C544AF">
              <w:rPr>
                <w:rFonts w:ascii="Times New Roman" w:hAnsi="Times New Roman"/>
                <w:szCs w:val="24"/>
              </w:rPr>
              <w:t>Russ Fortune, Mayor</w:t>
            </w:r>
          </w:p>
        </w:tc>
      </w:tr>
      <w:tr w:rsidR="003C4088" w:rsidRPr="00C544AF" w14:paraId="59EA42AE" w14:textId="77777777" w:rsidTr="00B04275">
        <w:trPr>
          <w:cantSplit/>
          <w:trHeight w:val="540"/>
        </w:trPr>
        <w:tc>
          <w:tcPr>
            <w:tcW w:w="5377" w:type="dxa"/>
          </w:tcPr>
          <w:p w14:paraId="7C151AFE" w14:textId="77777777" w:rsidR="003C4088" w:rsidRPr="00C544AF" w:rsidRDefault="003C4088" w:rsidP="00B04275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  <w:p w14:paraId="50B987F2" w14:textId="77777777" w:rsidR="003C4088" w:rsidRPr="00C544AF" w:rsidRDefault="003C4088" w:rsidP="00B04275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  <w:p w14:paraId="78A12A8C" w14:textId="77777777" w:rsidR="003C4088" w:rsidRPr="00C544AF" w:rsidRDefault="003C4088" w:rsidP="00B04275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C544AF">
              <w:rPr>
                <w:rFonts w:ascii="Times New Roman" w:hAnsi="Times New Roman"/>
                <w:szCs w:val="24"/>
              </w:rPr>
              <w:t>Attest:</w:t>
            </w:r>
          </w:p>
        </w:tc>
      </w:tr>
      <w:tr w:rsidR="003C4088" w:rsidRPr="00C544AF" w14:paraId="68D951D7" w14:textId="77777777" w:rsidTr="00B04275">
        <w:trPr>
          <w:cantSplit/>
        </w:trPr>
        <w:tc>
          <w:tcPr>
            <w:tcW w:w="5377" w:type="dxa"/>
            <w:tcBorders>
              <w:bottom w:val="single" w:sz="4" w:space="0" w:color="auto"/>
            </w:tcBorders>
            <w:vAlign w:val="bottom"/>
          </w:tcPr>
          <w:p w14:paraId="0B0CF6F0" w14:textId="77777777" w:rsidR="003C4088" w:rsidRPr="00C544AF" w:rsidRDefault="003C4088" w:rsidP="00B04275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szCs w:val="24"/>
              </w:rPr>
            </w:pPr>
          </w:p>
          <w:p w14:paraId="0B6A13FB" w14:textId="77777777" w:rsidR="003C4088" w:rsidRPr="00C544AF" w:rsidRDefault="003C4088" w:rsidP="00B04275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szCs w:val="24"/>
              </w:rPr>
            </w:pPr>
          </w:p>
          <w:p w14:paraId="7F8D3FE6" w14:textId="77777777" w:rsidR="003C4088" w:rsidRPr="00C544AF" w:rsidRDefault="003C4088" w:rsidP="00B04275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szCs w:val="24"/>
              </w:rPr>
            </w:pPr>
          </w:p>
        </w:tc>
      </w:tr>
      <w:tr w:rsidR="003C4088" w:rsidRPr="00C544AF" w14:paraId="5E80D034" w14:textId="77777777" w:rsidTr="00B04275">
        <w:trPr>
          <w:cantSplit/>
        </w:trPr>
        <w:tc>
          <w:tcPr>
            <w:tcW w:w="5377" w:type="dxa"/>
            <w:tcBorders>
              <w:top w:val="single" w:sz="4" w:space="0" w:color="auto"/>
            </w:tcBorders>
          </w:tcPr>
          <w:p w14:paraId="74258589" w14:textId="5A2698FA" w:rsidR="003C4088" w:rsidRPr="00C544AF" w:rsidRDefault="003C4088" w:rsidP="00B04275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C544AF">
              <w:rPr>
                <w:rFonts w:ascii="Times New Roman" w:hAnsi="Times New Roman"/>
                <w:szCs w:val="24"/>
              </w:rPr>
              <w:t>Frank Johnson, City Clerk</w:t>
            </w:r>
            <w:r w:rsidR="00302ACA">
              <w:rPr>
                <w:rFonts w:ascii="Times New Roman" w:hAnsi="Times New Roman"/>
                <w:szCs w:val="24"/>
              </w:rPr>
              <w:t>/Administrator</w:t>
            </w:r>
            <w:r w:rsidRPr="00C544AF">
              <w:rPr>
                <w:rFonts w:ascii="Times New Roman" w:hAnsi="Times New Roman"/>
                <w:szCs w:val="24"/>
              </w:rPr>
              <w:tab/>
            </w:r>
          </w:p>
        </w:tc>
      </w:tr>
    </w:tbl>
    <w:p w14:paraId="0EC0496A" w14:textId="77777777" w:rsidR="003C4088" w:rsidRPr="00C544AF" w:rsidRDefault="003C4088" w:rsidP="003C4088">
      <w:pPr>
        <w:rPr>
          <w:rFonts w:ascii="Times New Roman" w:hAnsi="Times New Roman"/>
          <w:szCs w:val="24"/>
        </w:rPr>
      </w:pPr>
    </w:p>
    <w:p w14:paraId="328AFD26" w14:textId="16227842" w:rsidR="008A28D0" w:rsidRPr="00C544AF" w:rsidRDefault="008A28D0" w:rsidP="003C4088">
      <w:pPr>
        <w:snapToGrid w:val="0"/>
        <w:spacing w:after="240"/>
        <w:jc w:val="both"/>
        <w:rPr>
          <w:rFonts w:ascii="Times New Roman" w:hAnsi="Times New Roman"/>
          <w:szCs w:val="24"/>
        </w:rPr>
      </w:pPr>
    </w:p>
    <w:sectPr w:rsidR="008A28D0" w:rsidRPr="00C544AF" w:rsidSect="003C4088">
      <w:headerReference w:type="default" r:id="rId8"/>
      <w:footerReference w:type="default" r:id="rId9"/>
      <w:headerReference w:type="first" r:id="rId10"/>
      <w:type w:val="continuous"/>
      <w:pgSz w:w="12240" w:h="15840"/>
      <w:pgMar w:top="1440" w:right="1440" w:bottom="1440" w:left="1440" w:header="990" w:footer="891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9DFC9D" w14:textId="77777777" w:rsidR="008C1458" w:rsidRDefault="008C1458">
      <w:r>
        <w:separator/>
      </w:r>
    </w:p>
  </w:endnote>
  <w:endnote w:type="continuationSeparator" w:id="0">
    <w:p w14:paraId="3F0EF8C4" w14:textId="77777777" w:rsidR="008C1458" w:rsidRDefault="008C1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E30E7C" w14:textId="77777777" w:rsidR="00C134DD" w:rsidRDefault="00C134DD">
    <w:pPr>
      <w:spacing w:line="240" w:lineRule="exact"/>
    </w:pPr>
  </w:p>
  <w:p w14:paraId="16AFA555" w14:textId="77777777" w:rsidR="00C134DD" w:rsidRPr="00BE18A7" w:rsidRDefault="00C134DD">
    <w:pPr>
      <w:framePr w:w="9361" w:wrap="notBeside" w:vAnchor="text" w:hAnchor="text" w:x="1" w:y="1"/>
      <w:jc w:val="center"/>
      <w:rPr>
        <w:sz w:val="20"/>
      </w:rPr>
    </w:pPr>
    <w:r w:rsidRPr="00BE18A7">
      <w:rPr>
        <w:sz w:val="20"/>
      </w:rPr>
      <w:fldChar w:fldCharType="begin"/>
    </w:r>
    <w:r w:rsidRPr="00BE18A7">
      <w:rPr>
        <w:sz w:val="20"/>
      </w:rPr>
      <w:instrText xml:space="preserve">PAGE </w:instrText>
    </w:r>
    <w:r w:rsidRPr="00BE18A7">
      <w:rPr>
        <w:sz w:val="20"/>
      </w:rPr>
      <w:fldChar w:fldCharType="separate"/>
    </w:r>
    <w:r w:rsidR="00C4552E">
      <w:rPr>
        <w:noProof/>
        <w:sz w:val="20"/>
      </w:rPr>
      <w:t>3</w:t>
    </w:r>
    <w:r w:rsidRPr="00BE18A7">
      <w:rPr>
        <w:sz w:val="20"/>
      </w:rPr>
      <w:fldChar w:fldCharType="end"/>
    </w:r>
  </w:p>
  <w:p w14:paraId="6B667223" w14:textId="77777777" w:rsidR="00C134DD" w:rsidRDefault="00C134D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D26FE8" w14:textId="77777777" w:rsidR="008C1458" w:rsidRDefault="008C1458">
      <w:r>
        <w:separator/>
      </w:r>
    </w:p>
  </w:footnote>
  <w:footnote w:type="continuationSeparator" w:id="0">
    <w:p w14:paraId="5A68B62B" w14:textId="77777777" w:rsidR="008C1458" w:rsidRDefault="008C14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D7FE4E" w14:textId="77777777" w:rsidR="00F26DE7" w:rsidRPr="00F26DE7" w:rsidRDefault="00F26DE7" w:rsidP="00F26DE7">
    <w:pPr>
      <w:pStyle w:val="Header"/>
      <w:jc w:val="center"/>
      <w:rPr>
        <w:sz w:val="4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D96595" w14:textId="77777777" w:rsidR="00C4552E" w:rsidRDefault="00C4552E" w:rsidP="003C4088">
    <w:pPr>
      <w:rPr>
        <w:rFonts w:ascii="Times New Roman" w:hAnsi="Times New Roman"/>
        <w:b/>
        <w:bCs/>
        <w:szCs w:val="24"/>
      </w:rPr>
    </w:pPr>
  </w:p>
  <w:p w14:paraId="7B3375EB" w14:textId="70DBE725" w:rsidR="003C4088" w:rsidRPr="009E262D" w:rsidRDefault="003C4088" w:rsidP="003C4088">
    <w:pPr>
      <w:rPr>
        <w:rFonts w:ascii="Times New Roman" w:hAnsi="Times New Roman"/>
        <w:b/>
        <w:bCs/>
        <w:szCs w:val="24"/>
      </w:rPr>
    </w:pPr>
    <w:r w:rsidRPr="009E262D">
      <w:rPr>
        <w:rFonts w:ascii="Times New Roman" w:hAnsi="Times New Roman"/>
        <w:b/>
        <w:bCs/>
        <w:szCs w:val="24"/>
      </w:rPr>
      <w:t>BILL NO.</w:t>
    </w:r>
    <w:r w:rsidR="008D219E">
      <w:rPr>
        <w:rFonts w:ascii="Times New Roman" w:hAnsi="Times New Roman"/>
        <w:b/>
        <w:bCs/>
        <w:szCs w:val="24"/>
      </w:rPr>
      <w:t xml:space="preserve"> 21-12</w:t>
    </w:r>
    <w:r w:rsidR="008D219E">
      <w:rPr>
        <w:rFonts w:ascii="Times New Roman" w:hAnsi="Times New Roman"/>
        <w:b/>
        <w:bCs/>
        <w:szCs w:val="24"/>
      </w:rPr>
      <w:tab/>
    </w:r>
    <w:r w:rsidRPr="009E262D">
      <w:rPr>
        <w:rFonts w:ascii="Times New Roman" w:hAnsi="Times New Roman"/>
        <w:b/>
        <w:bCs/>
        <w:szCs w:val="24"/>
      </w:rPr>
      <w:tab/>
    </w:r>
    <w:r w:rsidRPr="009E262D">
      <w:rPr>
        <w:rFonts w:ascii="Times New Roman" w:hAnsi="Times New Roman"/>
        <w:b/>
        <w:bCs/>
        <w:szCs w:val="24"/>
      </w:rPr>
      <w:tab/>
    </w:r>
    <w:r w:rsidRPr="009E262D">
      <w:rPr>
        <w:rFonts w:ascii="Times New Roman" w:hAnsi="Times New Roman"/>
        <w:b/>
        <w:bCs/>
        <w:szCs w:val="24"/>
      </w:rPr>
      <w:tab/>
      <w:t xml:space="preserve">      </w:t>
    </w:r>
    <w:r w:rsidRPr="009E262D">
      <w:rPr>
        <w:rFonts w:ascii="Times New Roman" w:hAnsi="Times New Roman"/>
        <w:b/>
        <w:bCs/>
        <w:szCs w:val="24"/>
      </w:rPr>
      <w:tab/>
    </w:r>
    <w:r w:rsidRPr="009E262D">
      <w:rPr>
        <w:rFonts w:ascii="Times New Roman" w:hAnsi="Times New Roman"/>
        <w:b/>
        <w:bCs/>
        <w:szCs w:val="24"/>
      </w:rPr>
      <w:tab/>
    </w:r>
    <w:r w:rsidR="008D219E">
      <w:rPr>
        <w:rFonts w:ascii="Times New Roman" w:hAnsi="Times New Roman"/>
        <w:b/>
        <w:bCs/>
        <w:szCs w:val="24"/>
      </w:rPr>
      <w:tab/>
    </w:r>
    <w:r w:rsidRPr="009E262D">
      <w:rPr>
        <w:rFonts w:ascii="Times New Roman" w:hAnsi="Times New Roman"/>
        <w:b/>
        <w:bCs/>
        <w:szCs w:val="24"/>
      </w:rPr>
      <w:t xml:space="preserve">ORDINANCE NO. </w:t>
    </w:r>
    <w:r w:rsidR="008D219E">
      <w:rPr>
        <w:rFonts w:ascii="Times New Roman" w:hAnsi="Times New Roman"/>
        <w:b/>
        <w:bCs/>
        <w:szCs w:val="24"/>
      </w:rPr>
      <w:t>21-12</w:t>
    </w:r>
  </w:p>
  <w:p w14:paraId="003FB4FB" w14:textId="77777777" w:rsidR="003C4088" w:rsidRPr="009E262D" w:rsidRDefault="003C4088" w:rsidP="003C4088">
    <w:pPr>
      <w:rPr>
        <w:rFonts w:ascii="Times New Roman" w:hAnsi="Times New Roman"/>
        <w:b/>
        <w:bCs/>
        <w:szCs w:val="24"/>
      </w:rPr>
    </w:pPr>
  </w:p>
  <w:p w14:paraId="270EB75C" w14:textId="744ED916" w:rsidR="003C4088" w:rsidRPr="009E262D" w:rsidRDefault="003C4088" w:rsidP="00E221A3">
    <w:pPr>
      <w:tabs>
        <w:tab w:val="center" w:pos="4680"/>
      </w:tabs>
      <w:ind w:left="720" w:right="720"/>
      <w:jc w:val="center"/>
      <w:rPr>
        <w:rFonts w:ascii="Times New Roman" w:hAnsi="Times New Roman"/>
        <w:b/>
        <w:bCs/>
        <w:szCs w:val="24"/>
      </w:rPr>
    </w:pPr>
    <w:r w:rsidRPr="009E262D">
      <w:rPr>
        <w:rFonts w:ascii="Times New Roman" w:hAnsi="Times New Roman"/>
        <w:b/>
        <w:bCs/>
        <w:szCs w:val="24"/>
      </w:rPr>
      <w:t>AN ORDINANCE AMENDING CHAPTER 3</w:t>
    </w:r>
    <w:r w:rsidR="009060C3" w:rsidRPr="009E262D">
      <w:rPr>
        <w:rFonts w:ascii="Times New Roman" w:hAnsi="Times New Roman"/>
        <w:b/>
        <w:bCs/>
        <w:szCs w:val="24"/>
      </w:rPr>
      <w:t>15</w:t>
    </w:r>
    <w:r w:rsidRPr="009E262D">
      <w:rPr>
        <w:rFonts w:ascii="Times New Roman" w:hAnsi="Times New Roman"/>
        <w:b/>
        <w:bCs/>
        <w:szCs w:val="24"/>
      </w:rPr>
      <w:t xml:space="preserve"> OF THE MUNICIPAL CODE OF THE CITY OF TWIN OAKS PERTAINING TO </w:t>
    </w:r>
    <w:r w:rsidR="009060C3" w:rsidRPr="009E262D">
      <w:rPr>
        <w:rFonts w:ascii="Times New Roman" w:hAnsi="Times New Roman"/>
        <w:b/>
        <w:bCs/>
        <w:iCs/>
        <w:szCs w:val="24"/>
      </w:rPr>
      <w:t>SPECIAL ENFORCEMENT AREAS</w:t>
    </w:r>
    <w:r w:rsidRPr="009E262D">
      <w:rPr>
        <w:rFonts w:ascii="Times New Roman" w:hAnsi="Times New Roman"/>
        <w:b/>
        <w:bCs/>
        <w:szCs w:val="24"/>
      </w:rPr>
      <w:t xml:space="preserve"> AND </w:t>
    </w:r>
    <w:r w:rsidR="009E262D">
      <w:rPr>
        <w:rFonts w:ascii="Times New Roman" w:hAnsi="Times New Roman"/>
        <w:b/>
        <w:bCs/>
        <w:szCs w:val="24"/>
      </w:rPr>
      <w:t>DESIGNATING</w:t>
    </w:r>
    <w:r w:rsidRPr="009E262D">
      <w:rPr>
        <w:rFonts w:ascii="Times New Roman" w:hAnsi="Times New Roman"/>
        <w:b/>
        <w:bCs/>
        <w:szCs w:val="24"/>
      </w:rPr>
      <w:t xml:space="preserve"> </w:t>
    </w:r>
    <w:r w:rsidR="009E262D">
      <w:rPr>
        <w:rFonts w:ascii="Times New Roman" w:hAnsi="Times New Roman"/>
        <w:b/>
        <w:bCs/>
        <w:szCs w:val="24"/>
      </w:rPr>
      <w:t xml:space="preserve">A PORTION OF </w:t>
    </w:r>
    <w:r w:rsidRPr="009E262D">
      <w:rPr>
        <w:rFonts w:ascii="Times New Roman" w:hAnsi="Times New Roman"/>
        <w:b/>
        <w:bCs/>
        <w:szCs w:val="24"/>
      </w:rPr>
      <w:t xml:space="preserve">CRESCENT </w:t>
    </w:r>
    <w:r w:rsidR="009060C3" w:rsidRPr="009E262D">
      <w:rPr>
        <w:rFonts w:ascii="Times New Roman" w:hAnsi="Times New Roman"/>
        <w:b/>
        <w:bCs/>
        <w:szCs w:val="24"/>
      </w:rPr>
      <w:t xml:space="preserve">ROAD </w:t>
    </w:r>
    <w:r w:rsidR="009E262D">
      <w:rPr>
        <w:rFonts w:ascii="Times New Roman" w:hAnsi="Times New Roman"/>
        <w:b/>
        <w:bCs/>
        <w:szCs w:val="24"/>
      </w:rPr>
      <w:t>AS SUCH</w:t>
    </w:r>
    <w:r w:rsidRPr="009E262D">
      <w:rPr>
        <w:rFonts w:ascii="Times New Roman" w:hAnsi="Times New Roman"/>
        <w:b/>
        <w:bCs/>
        <w:szCs w:val="24"/>
      </w:rPr>
      <w:t>.</w:t>
    </w:r>
  </w:p>
  <w:p w14:paraId="668EEAD1" w14:textId="77777777" w:rsidR="003C4088" w:rsidRDefault="003C40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8526E"/>
    <w:multiLevelType w:val="hybridMultilevel"/>
    <w:tmpl w:val="BBD2DD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4376E"/>
    <w:multiLevelType w:val="hybridMultilevel"/>
    <w:tmpl w:val="0CF209CE"/>
    <w:lvl w:ilvl="0" w:tplc="484850FA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2A255C"/>
    <w:multiLevelType w:val="hybridMultilevel"/>
    <w:tmpl w:val="6908B698"/>
    <w:lvl w:ilvl="0" w:tplc="7A36FA6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172C18"/>
    <w:multiLevelType w:val="hybridMultilevel"/>
    <w:tmpl w:val="7806F3AC"/>
    <w:lvl w:ilvl="0" w:tplc="4F06201E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3637E30"/>
    <w:multiLevelType w:val="multilevel"/>
    <w:tmpl w:val="F9607582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>
      <w:start w:val="1"/>
      <w:numFmt w:val="decimal"/>
      <w:lvlText w:val="%6)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5" w15:restartNumberingAfterBreak="0">
    <w:nsid w:val="44A36633"/>
    <w:multiLevelType w:val="multilevel"/>
    <w:tmpl w:val="F9607582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>
      <w:start w:val="1"/>
      <w:numFmt w:val="decimal"/>
      <w:lvlText w:val="%6)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6" w15:restartNumberingAfterBreak="0">
    <w:nsid w:val="5D803718"/>
    <w:multiLevelType w:val="hybridMultilevel"/>
    <w:tmpl w:val="AED6B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1C648A"/>
    <w:multiLevelType w:val="hybridMultilevel"/>
    <w:tmpl w:val="3280CBE4"/>
    <w:lvl w:ilvl="0" w:tplc="5A96A9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CITRUS_JURISDICTION" w:val="Bluebook"/>
    <w:docVar w:name="CITRUS_DOC_GUID" w:val="{4376DD92-650B-4922-9F02-CEE1876FDF04}"/>
  </w:docVars>
  <w:rsids>
    <w:rsidRoot w:val="00A950B5"/>
    <w:rsid w:val="00012D06"/>
    <w:rsid w:val="00013803"/>
    <w:rsid w:val="00021326"/>
    <w:rsid w:val="00036D77"/>
    <w:rsid w:val="0004676C"/>
    <w:rsid w:val="00046BE4"/>
    <w:rsid w:val="00047ED5"/>
    <w:rsid w:val="00061D0F"/>
    <w:rsid w:val="000663DF"/>
    <w:rsid w:val="00071F44"/>
    <w:rsid w:val="00077C58"/>
    <w:rsid w:val="000A3399"/>
    <w:rsid w:val="000B27C6"/>
    <w:rsid w:val="00101A10"/>
    <w:rsid w:val="00113EF4"/>
    <w:rsid w:val="00116996"/>
    <w:rsid w:val="00121830"/>
    <w:rsid w:val="001564DD"/>
    <w:rsid w:val="00174495"/>
    <w:rsid w:val="00174C24"/>
    <w:rsid w:val="00180490"/>
    <w:rsid w:val="00182E69"/>
    <w:rsid w:val="00191793"/>
    <w:rsid w:val="00192E08"/>
    <w:rsid w:val="00195026"/>
    <w:rsid w:val="001976C5"/>
    <w:rsid w:val="001B2CDF"/>
    <w:rsid w:val="001B4191"/>
    <w:rsid w:val="001B645C"/>
    <w:rsid w:val="001C5622"/>
    <w:rsid w:val="001E4A1E"/>
    <w:rsid w:val="001E7831"/>
    <w:rsid w:val="001F09C0"/>
    <w:rsid w:val="001F2162"/>
    <w:rsid w:val="001F3986"/>
    <w:rsid w:val="0023216B"/>
    <w:rsid w:val="00234154"/>
    <w:rsid w:val="00241E5A"/>
    <w:rsid w:val="00244CDE"/>
    <w:rsid w:val="00250AE1"/>
    <w:rsid w:val="00262076"/>
    <w:rsid w:val="00263722"/>
    <w:rsid w:val="00274EB7"/>
    <w:rsid w:val="002761C3"/>
    <w:rsid w:val="00277DDB"/>
    <w:rsid w:val="00291071"/>
    <w:rsid w:val="0029752A"/>
    <w:rsid w:val="002A1DE1"/>
    <w:rsid w:val="002B0D5B"/>
    <w:rsid w:val="002C1430"/>
    <w:rsid w:val="002C7369"/>
    <w:rsid w:val="002E105A"/>
    <w:rsid w:val="002F78CA"/>
    <w:rsid w:val="00302ACA"/>
    <w:rsid w:val="00305857"/>
    <w:rsid w:val="0032440E"/>
    <w:rsid w:val="00330D6A"/>
    <w:rsid w:val="0033518B"/>
    <w:rsid w:val="00340A78"/>
    <w:rsid w:val="00343EEC"/>
    <w:rsid w:val="00352B41"/>
    <w:rsid w:val="00374BF0"/>
    <w:rsid w:val="00396BB2"/>
    <w:rsid w:val="003A1C83"/>
    <w:rsid w:val="003B38DA"/>
    <w:rsid w:val="003C4088"/>
    <w:rsid w:val="003D39FF"/>
    <w:rsid w:val="003E0291"/>
    <w:rsid w:val="003F2A36"/>
    <w:rsid w:val="00407B05"/>
    <w:rsid w:val="004261CE"/>
    <w:rsid w:val="00440502"/>
    <w:rsid w:val="00444504"/>
    <w:rsid w:val="00445A0C"/>
    <w:rsid w:val="004645BF"/>
    <w:rsid w:val="00475A1F"/>
    <w:rsid w:val="00482E31"/>
    <w:rsid w:val="00486300"/>
    <w:rsid w:val="00493193"/>
    <w:rsid w:val="004C7BF0"/>
    <w:rsid w:val="004D3114"/>
    <w:rsid w:val="004E40AE"/>
    <w:rsid w:val="00501CD7"/>
    <w:rsid w:val="00502CDD"/>
    <w:rsid w:val="00513C28"/>
    <w:rsid w:val="00517396"/>
    <w:rsid w:val="005270A7"/>
    <w:rsid w:val="005445E1"/>
    <w:rsid w:val="00563C17"/>
    <w:rsid w:val="00563D05"/>
    <w:rsid w:val="005728BB"/>
    <w:rsid w:val="0058288B"/>
    <w:rsid w:val="00596184"/>
    <w:rsid w:val="005B23B7"/>
    <w:rsid w:val="005C10C5"/>
    <w:rsid w:val="005C4E21"/>
    <w:rsid w:val="005E48B4"/>
    <w:rsid w:val="00637244"/>
    <w:rsid w:val="0064222A"/>
    <w:rsid w:val="006457E5"/>
    <w:rsid w:val="00646906"/>
    <w:rsid w:val="0066368A"/>
    <w:rsid w:val="00672D1C"/>
    <w:rsid w:val="00674933"/>
    <w:rsid w:val="00685222"/>
    <w:rsid w:val="006A4A12"/>
    <w:rsid w:val="006F6C44"/>
    <w:rsid w:val="00702471"/>
    <w:rsid w:val="00704BF2"/>
    <w:rsid w:val="00716E44"/>
    <w:rsid w:val="007207D3"/>
    <w:rsid w:val="00723787"/>
    <w:rsid w:val="00742BF9"/>
    <w:rsid w:val="00753096"/>
    <w:rsid w:val="00766EA3"/>
    <w:rsid w:val="00791063"/>
    <w:rsid w:val="00794323"/>
    <w:rsid w:val="007947D7"/>
    <w:rsid w:val="007B44B5"/>
    <w:rsid w:val="007B4987"/>
    <w:rsid w:val="007B5C4C"/>
    <w:rsid w:val="007C0CB8"/>
    <w:rsid w:val="007C2ACF"/>
    <w:rsid w:val="007D3C6C"/>
    <w:rsid w:val="007E528D"/>
    <w:rsid w:val="008006F7"/>
    <w:rsid w:val="00803557"/>
    <w:rsid w:val="00810B03"/>
    <w:rsid w:val="00814A34"/>
    <w:rsid w:val="00822BF2"/>
    <w:rsid w:val="00826404"/>
    <w:rsid w:val="00841157"/>
    <w:rsid w:val="00842A46"/>
    <w:rsid w:val="00851E46"/>
    <w:rsid w:val="008647D1"/>
    <w:rsid w:val="00866F83"/>
    <w:rsid w:val="008700DF"/>
    <w:rsid w:val="00874126"/>
    <w:rsid w:val="00882736"/>
    <w:rsid w:val="00892A8B"/>
    <w:rsid w:val="008A0347"/>
    <w:rsid w:val="008A28D0"/>
    <w:rsid w:val="008A2DF6"/>
    <w:rsid w:val="008A606B"/>
    <w:rsid w:val="008B7A14"/>
    <w:rsid w:val="008C1458"/>
    <w:rsid w:val="008D219E"/>
    <w:rsid w:val="008D4A98"/>
    <w:rsid w:val="008E76C8"/>
    <w:rsid w:val="008F5791"/>
    <w:rsid w:val="009060C3"/>
    <w:rsid w:val="00914ED8"/>
    <w:rsid w:val="00916B5F"/>
    <w:rsid w:val="00940802"/>
    <w:rsid w:val="00957267"/>
    <w:rsid w:val="00973A55"/>
    <w:rsid w:val="00994D10"/>
    <w:rsid w:val="00994DB1"/>
    <w:rsid w:val="009A1371"/>
    <w:rsid w:val="009B1EEF"/>
    <w:rsid w:val="009B6A46"/>
    <w:rsid w:val="009E262D"/>
    <w:rsid w:val="009F0534"/>
    <w:rsid w:val="009F1C5C"/>
    <w:rsid w:val="00A10C24"/>
    <w:rsid w:val="00A13AAD"/>
    <w:rsid w:val="00A244AA"/>
    <w:rsid w:val="00A302B4"/>
    <w:rsid w:val="00A66748"/>
    <w:rsid w:val="00A829D4"/>
    <w:rsid w:val="00A950B5"/>
    <w:rsid w:val="00AA5874"/>
    <w:rsid w:val="00AC54CA"/>
    <w:rsid w:val="00AE0E3C"/>
    <w:rsid w:val="00AF00BC"/>
    <w:rsid w:val="00AF1D80"/>
    <w:rsid w:val="00B065FD"/>
    <w:rsid w:val="00B24998"/>
    <w:rsid w:val="00B27EA2"/>
    <w:rsid w:val="00B332D5"/>
    <w:rsid w:val="00B36B89"/>
    <w:rsid w:val="00B809CF"/>
    <w:rsid w:val="00B80EEE"/>
    <w:rsid w:val="00B9752F"/>
    <w:rsid w:val="00BC2E6B"/>
    <w:rsid w:val="00BD05E0"/>
    <w:rsid w:val="00BE18A7"/>
    <w:rsid w:val="00BE76B0"/>
    <w:rsid w:val="00BF3BDF"/>
    <w:rsid w:val="00C047E2"/>
    <w:rsid w:val="00C04B65"/>
    <w:rsid w:val="00C134DD"/>
    <w:rsid w:val="00C212D8"/>
    <w:rsid w:val="00C33141"/>
    <w:rsid w:val="00C4552E"/>
    <w:rsid w:val="00C501B8"/>
    <w:rsid w:val="00C544AF"/>
    <w:rsid w:val="00C56724"/>
    <w:rsid w:val="00C6448C"/>
    <w:rsid w:val="00C65036"/>
    <w:rsid w:val="00C81789"/>
    <w:rsid w:val="00C910EA"/>
    <w:rsid w:val="00CA0624"/>
    <w:rsid w:val="00CA2FE3"/>
    <w:rsid w:val="00CB7FE4"/>
    <w:rsid w:val="00CC019C"/>
    <w:rsid w:val="00CC53DD"/>
    <w:rsid w:val="00CD4E6A"/>
    <w:rsid w:val="00CD5AA3"/>
    <w:rsid w:val="00CE7E53"/>
    <w:rsid w:val="00CF4C08"/>
    <w:rsid w:val="00CF56E9"/>
    <w:rsid w:val="00D052D9"/>
    <w:rsid w:val="00D12F45"/>
    <w:rsid w:val="00D13CC1"/>
    <w:rsid w:val="00D16BE1"/>
    <w:rsid w:val="00D2030D"/>
    <w:rsid w:val="00D31F49"/>
    <w:rsid w:val="00D3445F"/>
    <w:rsid w:val="00D37638"/>
    <w:rsid w:val="00D636F1"/>
    <w:rsid w:val="00D731E6"/>
    <w:rsid w:val="00D74646"/>
    <w:rsid w:val="00D7663B"/>
    <w:rsid w:val="00D8110A"/>
    <w:rsid w:val="00D8403D"/>
    <w:rsid w:val="00D8552B"/>
    <w:rsid w:val="00D86F92"/>
    <w:rsid w:val="00D97C05"/>
    <w:rsid w:val="00D97FB3"/>
    <w:rsid w:val="00DB510A"/>
    <w:rsid w:val="00DB5CD7"/>
    <w:rsid w:val="00DB68BF"/>
    <w:rsid w:val="00DC63F0"/>
    <w:rsid w:val="00DD2617"/>
    <w:rsid w:val="00DE2973"/>
    <w:rsid w:val="00DE2E80"/>
    <w:rsid w:val="00E06D32"/>
    <w:rsid w:val="00E10CFE"/>
    <w:rsid w:val="00E14C3D"/>
    <w:rsid w:val="00E221A3"/>
    <w:rsid w:val="00E30B7C"/>
    <w:rsid w:val="00E44C29"/>
    <w:rsid w:val="00E76B48"/>
    <w:rsid w:val="00E9421D"/>
    <w:rsid w:val="00E978A9"/>
    <w:rsid w:val="00EA6B0A"/>
    <w:rsid w:val="00EB2BCE"/>
    <w:rsid w:val="00EB578C"/>
    <w:rsid w:val="00EB7057"/>
    <w:rsid w:val="00EC1442"/>
    <w:rsid w:val="00EE36A5"/>
    <w:rsid w:val="00EE7276"/>
    <w:rsid w:val="00EF575C"/>
    <w:rsid w:val="00F16A9A"/>
    <w:rsid w:val="00F26DE7"/>
    <w:rsid w:val="00F30080"/>
    <w:rsid w:val="00F47F90"/>
    <w:rsid w:val="00F52454"/>
    <w:rsid w:val="00F6094A"/>
    <w:rsid w:val="00F65A22"/>
    <w:rsid w:val="00F724AD"/>
    <w:rsid w:val="00F7768C"/>
    <w:rsid w:val="00F82396"/>
    <w:rsid w:val="00F87F37"/>
    <w:rsid w:val="00FA0F96"/>
    <w:rsid w:val="00FC12D6"/>
    <w:rsid w:val="00FC1F93"/>
    <w:rsid w:val="00FC36BB"/>
    <w:rsid w:val="00FE1F3C"/>
    <w:rsid w:val="00FF085B"/>
    <w:rsid w:val="00FF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3EAD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7449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4">
    <w:name w:val="heading 4"/>
    <w:basedOn w:val="Normal"/>
    <w:next w:val="Normal"/>
    <w:link w:val="Heading4Char"/>
    <w:unhideWhenUsed/>
    <w:qFormat/>
    <w:rsid w:val="00C212D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22"/>
    </w:rPr>
  </w:style>
  <w:style w:type="paragraph" w:styleId="BodyText2">
    <w:name w:val="Body Text 2"/>
    <w:basedOn w:val="Normal"/>
    <w:rPr>
      <w:sz w:val="20"/>
    </w:rPr>
  </w:style>
  <w:style w:type="paragraph" w:styleId="BodyText3">
    <w:name w:val="Body Text 3"/>
    <w:basedOn w:val="Normal"/>
    <w:pPr>
      <w:spacing w:after="240"/>
      <w:jc w:val="both"/>
    </w:pPr>
    <w:rPr>
      <w:sz w:val="22"/>
      <w:szCs w:val="22"/>
    </w:rPr>
  </w:style>
  <w:style w:type="paragraph" w:customStyle="1" w:styleId="smfBodj">
    <w:name w:val="smfBodj"/>
    <w:aliases w:val="bj"/>
    <w:basedOn w:val="Normal"/>
    <w:rsid w:val="00482E31"/>
    <w:pPr>
      <w:suppressAutoHyphens/>
      <w:spacing w:after="240"/>
      <w:ind w:firstLine="720"/>
      <w:jc w:val="both"/>
    </w:pPr>
    <w:rPr>
      <w:rFonts w:ascii="Times New Roman" w:hAnsi="Times New Roman"/>
    </w:rPr>
  </w:style>
  <w:style w:type="paragraph" w:customStyle="1" w:styleId="smfTitleCenBld">
    <w:name w:val="smfTitleCenBld"/>
    <w:aliases w:val="tb"/>
    <w:basedOn w:val="Normal"/>
    <w:rsid w:val="00482E31"/>
    <w:pPr>
      <w:keepNext/>
      <w:suppressAutoHyphens/>
      <w:spacing w:after="240"/>
      <w:jc w:val="center"/>
      <w:outlineLvl w:val="0"/>
    </w:pPr>
    <w:rPr>
      <w:rFonts w:ascii="Times New Roman" w:hAnsi="Times New Roman"/>
      <w:b/>
    </w:rPr>
  </w:style>
  <w:style w:type="character" w:styleId="PageNumber">
    <w:name w:val="page number"/>
    <w:basedOn w:val="DefaultParagraphFont"/>
    <w:rsid w:val="001976C5"/>
  </w:style>
  <w:style w:type="character" w:customStyle="1" w:styleId="Heading2Char">
    <w:name w:val="Heading 2 Char"/>
    <w:link w:val="Heading2"/>
    <w:semiHidden/>
    <w:rsid w:val="0017449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957267"/>
    <w:pPr>
      <w:ind w:left="720"/>
    </w:pPr>
  </w:style>
  <w:style w:type="character" w:customStyle="1" w:styleId="Heading4Char">
    <w:name w:val="Heading 4 Char"/>
    <w:link w:val="Heading4"/>
    <w:rsid w:val="00C212D8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style1-a">
    <w:name w:val="style1-a"/>
    <w:basedOn w:val="Normal"/>
    <w:rsid w:val="00A66748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CommentReference">
    <w:name w:val="annotation reference"/>
    <w:basedOn w:val="DefaultParagraphFont"/>
    <w:rsid w:val="00182E69"/>
    <w:rPr>
      <w:sz w:val="16"/>
      <w:szCs w:val="16"/>
    </w:rPr>
  </w:style>
  <w:style w:type="paragraph" w:styleId="CommentText">
    <w:name w:val="annotation text"/>
    <w:basedOn w:val="Normal"/>
    <w:link w:val="CommentTextChar"/>
    <w:rsid w:val="00182E6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82E69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182E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82E69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182E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82E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34639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54622">
              <w:marLeft w:val="48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383080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20215">
              <w:marLeft w:val="48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9038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1672">
              <w:marLeft w:val="48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01948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25979">
              <w:marLeft w:val="48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48752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4259">
              <w:marLeft w:val="48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3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13997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3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3822F-FD28-4117-8C47-77F91EB51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2021-06-18T18:42:00Z</dcterms:created>
  <dcterms:modified xsi:type="dcterms:W3CDTF">2021-07-08T13:35:00Z</dcterms:modified>
</cp:coreProperties>
</file>